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379" w:rsidRDefault="00690379" w:rsidP="00DB44DF">
      <w:pPr>
        <w:widowControl w:val="0"/>
        <w:autoSpaceDE w:val="0"/>
        <w:autoSpaceDN w:val="0"/>
        <w:adjustRightInd w:val="0"/>
        <w:jc w:val="center"/>
        <w:rPr>
          <w:rFonts w:ascii="Arial" w:hAnsi="Arial" w:cs="Arial"/>
          <w:b/>
          <w:bCs/>
        </w:rPr>
      </w:pPr>
      <w:bookmarkStart w:id="0" w:name="_GoBack"/>
      <w:bookmarkEnd w:id="0"/>
      <w:r>
        <w:rPr>
          <w:rFonts w:ascii="Arial" w:hAnsi="Arial" w:cs="Arial"/>
          <w:b/>
          <w:bCs/>
        </w:rPr>
        <w:t>Project Report for the GEWEX GHP Meeting</w:t>
      </w:r>
    </w:p>
    <w:p w:rsidR="00690379" w:rsidRDefault="00690379" w:rsidP="00DB44DF">
      <w:pPr>
        <w:widowControl w:val="0"/>
        <w:autoSpaceDE w:val="0"/>
        <w:autoSpaceDN w:val="0"/>
        <w:adjustRightInd w:val="0"/>
        <w:rPr>
          <w:rFonts w:ascii="Arial" w:hAnsi="Arial" w:cs="Arial"/>
          <w:b/>
          <w:bCs/>
          <w:sz w:val="20"/>
          <w:szCs w:val="20"/>
        </w:rPr>
      </w:pPr>
    </w:p>
    <w:p w:rsidR="00690379" w:rsidRDefault="00690379" w:rsidP="00DB44DF">
      <w:pPr>
        <w:widowControl w:val="0"/>
        <w:autoSpaceDE w:val="0"/>
        <w:autoSpaceDN w:val="0"/>
        <w:adjustRightInd w:val="0"/>
        <w:rPr>
          <w:rFonts w:ascii="Arial" w:hAnsi="Arial" w:cs="Arial"/>
          <w:b/>
          <w:bCs/>
          <w:sz w:val="20"/>
          <w:szCs w:val="20"/>
        </w:rPr>
      </w:pPr>
      <w:r>
        <w:rPr>
          <w:rFonts w:ascii="Arial" w:hAnsi="Arial" w:cs="Arial"/>
          <w:b/>
          <w:bCs/>
          <w:sz w:val="20"/>
          <w:szCs w:val="20"/>
        </w:rPr>
        <w:t>Global Runoff Data Centre (GRDC)</w:t>
      </w:r>
    </w:p>
    <w:p w:rsidR="00690379" w:rsidRDefault="00584F7F" w:rsidP="00DB44DF">
      <w:pPr>
        <w:widowControl w:val="0"/>
        <w:autoSpaceDE w:val="0"/>
        <w:autoSpaceDN w:val="0"/>
        <w:adjustRightInd w:val="0"/>
        <w:rPr>
          <w:rFonts w:ascii="Arial" w:hAnsi="Arial" w:cs="Arial"/>
          <w:b/>
          <w:bCs/>
          <w:sz w:val="20"/>
          <w:szCs w:val="20"/>
        </w:rPr>
      </w:pPr>
      <w:r>
        <w:rPr>
          <w:rFonts w:ascii="Arial" w:hAnsi="Arial" w:cs="Arial"/>
          <w:b/>
          <w:bCs/>
          <w:sz w:val="20"/>
          <w:szCs w:val="20"/>
        </w:rPr>
        <w:t>Reporting Period: September 2013</w:t>
      </w:r>
      <w:r w:rsidR="00690379">
        <w:rPr>
          <w:rFonts w:ascii="Arial" w:hAnsi="Arial" w:cs="Arial"/>
          <w:b/>
          <w:bCs/>
          <w:sz w:val="20"/>
          <w:szCs w:val="20"/>
        </w:rPr>
        <w:t xml:space="preserve"> – </w:t>
      </w:r>
      <w:r>
        <w:rPr>
          <w:rFonts w:ascii="Arial" w:hAnsi="Arial" w:cs="Arial"/>
          <w:b/>
          <w:bCs/>
          <w:sz w:val="20"/>
          <w:szCs w:val="20"/>
        </w:rPr>
        <w:t>November 2014</w:t>
      </w:r>
    </w:p>
    <w:p w:rsidR="00690379" w:rsidRDefault="00690379" w:rsidP="00DB44DF">
      <w:pPr>
        <w:widowControl w:val="0"/>
        <w:autoSpaceDE w:val="0"/>
        <w:autoSpaceDN w:val="0"/>
        <w:adjustRightInd w:val="0"/>
        <w:rPr>
          <w:rFonts w:ascii="Arial" w:hAnsi="Arial" w:cs="Arial"/>
          <w:b/>
          <w:bCs/>
          <w:sz w:val="20"/>
          <w:szCs w:val="20"/>
        </w:rPr>
      </w:pPr>
      <w:r>
        <w:rPr>
          <w:rFonts w:ascii="Arial" w:hAnsi="Arial" w:cs="Arial"/>
          <w:b/>
          <w:bCs/>
          <w:sz w:val="20"/>
          <w:szCs w:val="20"/>
        </w:rPr>
        <w:t>Starting date: 1988</w:t>
      </w:r>
    </w:p>
    <w:p w:rsidR="00690379" w:rsidRDefault="00690379" w:rsidP="00DB44DF">
      <w:pPr>
        <w:widowControl w:val="0"/>
        <w:autoSpaceDE w:val="0"/>
        <w:autoSpaceDN w:val="0"/>
        <w:adjustRightInd w:val="0"/>
        <w:rPr>
          <w:rFonts w:ascii="Arial" w:hAnsi="Arial" w:cs="Arial"/>
          <w:b/>
          <w:bCs/>
          <w:sz w:val="20"/>
          <w:szCs w:val="20"/>
        </w:rPr>
      </w:pPr>
      <w:r>
        <w:rPr>
          <w:rFonts w:ascii="Arial" w:hAnsi="Arial" w:cs="Arial"/>
          <w:b/>
          <w:bCs/>
          <w:sz w:val="20"/>
          <w:szCs w:val="20"/>
        </w:rPr>
        <w:t>End date:</w:t>
      </w:r>
    </w:p>
    <w:p w:rsidR="00690379" w:rsidRDefault="00690379" w:rsidP="00DB44DF">
      <w:pPr>
        <w:widowControl w:val="0"/>
        <w:autoSpaceDE w:val="0"/>
        <w:autoSpaceDN w:val="0"/>
        <w:adjustRightInd w:val="0"/>
        <w:rPr>
          <w:rFonts w:ascii="Arial" w:hAnsi="Arial" w:cs="Arial"/>
          <w:b/>
          <w:bCs/>
          <w:sz w:val="20"/>
          <w:szCs w:val="20"/>
        </w:rPr>
      </w:pPr>
      <w:r>
        <w:rPr>
          <w:rFonts w:ascii="Arial" w:hAnsi="Arial" w:cs="Arial"/>
          <w:b/>
          <w:bCs/>
          <w:sz w:val="20"/>
          <w:szCs w:val="20"/>
        </w:rPr>
        <w:t xml:space="preserve">URL: </w:t>
      </w:r>
      <w:hyperlink r:id="rId5" w:history="1">
        <w:r w:rsidRPr="00F14F38">
          <w:rPr>
            <w:rFonts w:ascii="Arial" w:hAnsi="Arial" w:cs="Arial"/>
            <w:b/>
            <w:bCs/>
            <w:sz w:val="20"/>
            <w:szCs w:val="20"/>
          </w:rPr>
          <w:t>http://grdc.bafg.de</w:t>
        </w:r>
      </w:hyperlink>
    </w:p>
    <w:p w:rsidR="00690379" w:rsidRDefault="00690379" w:rsidP="00DB44DF">
      <w:pPr>
        <w:widowControl w:val="0"/>
        <w:autoSpaceDE w:val="0"/>
        <w:autoSpaceDN w:val="0"/>
        <w:adjustRightInd w:val="0"/>
        <w:rPr>
          <w:rFonts w:ascii="Arial" w:hAnsi="Arial" w:cs="Arial"/>
          <w:b/>
          <w:bCs/>
          <w:sz w:val="20"/>
          <w:szCs w:val="20"/>
        </w:rPr>
      </w:pPr>
      <w:r>
        <w:rPr>
          <w:rFonts w:ascii="Arial" w:hAnsi="Arial" w:cs="Arial"/>
          <w:b/>
          <w:bCs/>
          <w:sz w:val="20"/>
          <w:szCs w:val="20"/>
        </w:rPr>
        <w:t>Chair(s) and term dates: Ulrich Looser</w:t>
      </w:r>
    </w:p>
    <w:p w:rsidR="00690379" w:rsidRDefault="00690379" w:rsidP="00DB44DF">
      <w:pPr>
        <w:widowControl w:val="0"/>
        <w:autoSpaceDE w:val="0"/>
        <w:autoSpaceDN w:val="0"/>
        <w:adjustRightInd w:val="0"/>
        <w:rPr>
          <w:rFonts w:ascii="Arial" w:hAnsi="Arial" w:cs="Arial"/>
          <w:b/>
          <w:bCs/>
          <w:sz w:val="20"/>
          <w:szCs w:val="20"/>
        </w:rPr>
      </w:pPr>
    </w:p>
    <w:p w:rsidR="00690379" w:rsidRDefault="00690379" w:rsidP="00DB44DF">
      <w:pPr>
        <w:widowControl w:val="0"/>
        <w:autoSpaceDE w:val="0"/>
        <w:autoSpaceDN w:val="0"/>
        <w:adjustRightInd w:val="0"/>
        <w:rPr>
          <w:rFonts w:ascii="Times" w:hAnsi="Times" w:cs="Times"/>
          <w:b/>
          <w:bCs/>
          <w:i/>
          <w:iCs/>
          <w:kern w:val="1"/>
        </w:rPr>
      </w:pPr>
      <w:r>
        <w:rPr>
          <w:rFonts w:ascii="Times" w:hAnsi="Times" w:cs="Times"/>
          <w:b/>
          <w:bCs/>
          <w:i/>
          <w:iCs/>
          <w:kern w:val="1"/>
        </w:rPr>
        <w:t>1) GRDC activities over the last year</w:t>
      </w:r>
    </w:p>
    <w:p w:rsidR="00690379" w:rsidRDefault="00690379" w:rsidP="00DB44DF">
      <w:pPr>
        <w:widowControl w:val="0"/>
        <w:autoSpaceDE w:val="0"/>
        <w:autoSpaceDN w:val="0"/>
        <w:adjustRightInd w:val="0"/>
        <w:rPr>
          <w:rFonts w:ascii="Times" w:hAnsi="Times" w:cs="Times"/>
          <w:b/>
          <w:bCs/>
          <w:i/>
          <w:iCs/>
          <w:kern w:val="1"/>
        </w:rPr>
      </w:pPr>
    </w:p>
    <w:p w:rsidR="00690379" w:rsidRPr="001A511A" w:rsidRDefault="00690379" w:rsidP="001A511A">
      <w:pPr>
        <w:widowControl w:val="0"/>
        <w:numPr>
          <w:ilvl w:val="0"/>
          <w:numId w:val="1"/>
        </w:numPr>
        <w:tabs>
          <w:tab w:val="left" w:pos="220"/>
          <w:tab w:val="left" w:pos="720"/>
        </w:tabs>
        <w:autoSpaceDE w:val="0"/>
        <w:autoSpaceDN w:val="0"/>
        <w:adjustRightInd w:val="0"/>
        <w:spacing w:after="120"/>
        <w:ind w:hanging="720"/>
        <w:rPr>
          <w:rFonts w:ascii="Arial" w:hAnsi="Arial" w:cs="Arial"/>
          <w:sz w:val="21"/>
          <w:szCs w:val="21"/>
        </w:rPr>
      </w:pPr>
      <w:r w:rsidRPr="001A511A">
        <w:rPr>
          <w:rFonts w:ascii="Arial" w:hAnsi="Arial" w:cs="Arial"/>
          <w:sz w:val="21"/>
          <w:szCs w:val="21"/>
        </w:rPr>
        <w:t>Overview:</w:t>
      </w:r>
    </w:p>
    <w:p w:rsidR="00690379" w:rsidRPr="00043680" w:rsidRDefault="00690379" w:rsidP="0027754A">
      <w:pPr>
        <w:ind w:left="360"/>
        <w:rPr>
          <w:rFonts w:ascii="Arial" w:hAnsi="Arial" w:cs="Arial"/>
          <w:sz w:val="20"/>
          <w:szCs w:val="20"/>
        </w:rPr>
      </w:pPr>
      <w:r w:rsidRPr="00043680">
        <w:rPr>
          <w:rFonts w:ascii="Arial" w:hAnsi="Arial" w:cs="Arial"/>
          <w:sz w:val="20"/>
          <w:szCs w:val="20"/>
        </w:rPr>
        <w:t xml:space="preserve">The Global Runoff Data Centre (GRDC) was established in 1988 at the </w:t>
      </w:r>
      <w:r>
        <w:rPr>
          <w:rFonts w:ascii="Arial" w:hAnsi="Arial" w:cs="Arial"/>
          <w:sz w:val="20"/>
          <w:szCs w:val="20"/>
        </w:rPr>
        <w:t>Federal Institute for Hydrology (</w:t>
      </w:r>
      <w:r w:rsidRPr="00043680">
        <w:rPr>
          <w:rFonts w:ascii="Arial" w:hAnsi="Arial" w:cs="Arial"/>
          <w:sz w:val="20"/>
          <w:szCs w:val="20"/>
        </w:rPr>
        <w:t>BfG</w:t>
      </w:r>
      <w:r>
        <w:rPr>
          <w:rFonts w:ascii="Arial" w:hAnsi="Arial" w:cs="Arial"/>
          <w:sz w:val="20"/>
          <w:szCs w:val="20"/>
        </w:rPr>
        <w:t>)</w:t>
      </w:r>
      <w:r w:rsidRPr="00043680">
        <w:rPr>
          <w:rFonts w:ascii="Arial" w:hAnsi="Arial" w:cs="Arial"/>
          <w:sz w:val="20"/>
          <w:szCs w:val="20"/>
        </w:rPr>
        <w:t xml:space="preserve"> under the auspices of the World Meteorological Organization (WMO). It is a contribution of the Federal Republic of Germany to the World Climate Programme of the WMO. WMO mandates and directly supports GRDC through its Resolution 21 (Cg XII, 1995: Request to the member states to provide GRDC with river discharge data) and Resolution 25 (Cg XIII, 1999: Free and unrestricted exchange of hydrological data).</w:t>
      </w:r>
    </w:p>
    <w:p w:rsidR="00690379" w:rsidRPr="00043680" w:rsidRDefault="00690379" w:rsidP="0027754A">
      <w:pPr>
        <w:ind w:left="360"/>
        <w:rPr>
          <w:rFonts w:ascii="Arial" w:hAnsi="Arial" w:cs="Arial"/>
          <w:sz w:val="20"/>
          <w:szCs w:val="20"/>
        </w:rPr>
      </w:pPr>
      <w:r w:rsidRPr="00043680">
        <w:rPr>
          <w:rFonts w:ascii="Arial" w:hAnsi="Arial" w:cs="Arial"/>
          <w:sz w:val="20"/>
          <w:szCs w:val="20"/>
        </w:rPr>
        <w:t xml:space="preserve">An international steering committee is guiding and overseeing the activities of the GRDC. The steering committee consists of representatives from </w:t>
      </w:r>
      <w:r w:rsidR="005B7C1D">
        <w:rPr>
          <w:rFonts w:ascii="Arial" w:hAnsi="Arial" w:cs="Arial"/>
          <w:sz w:val="20"/>
          <w:szCs w:val="20"/>
        </w:rPr>
        <w:t xml:space="preserve">the Federal Institute of Hydrology, </w:t>
      </w:r>
      <w:r w:rsidRPr="00043680">
        <w:rPr>
          <w:rFonts w:ascii="Arial" w:hAnsi="Arial" w:cs="Arial"/>
          <w:sz w:val="20"/>
          <w:szCs w:val="20"/>
        </w:rPr>
        <w:t xml:space="preserve">WMO, UNESCO, UNEP, ICSU, IAHS and partner data </w:t>
      </w:r>
      <w:proofErr w:type="spellStart"/>
      <w:r w:rsidRPr="00043680">
        <w:rPr>
          <w:rFonts w:ascii="Arial" w:hAnsi="Arial" w:cs="Arial"/>
          <w:sz w:val="20"/>
          <w:szCs w:val="20"/>
        </w:rPr>
        <w:t>centres</w:t>
      </w:r>
      <w:proofErr w:type="spellEnd"/>
      <w:r w:rsidRPr="00043680">
        <w:rPr>
          <w:rFonts w:ascii="Arial" w:hAnsi="Arial" w:cs="Arial"/>
          <w:sz w:val="20"/>
          <w:szCs w:val="20"/>
        </w:rPr>
        <w:t xml:space="preserve"> GPCC, IGRAC, GEMS/Water and HYDROLARE.</w:t>
      </w:r>
    </w:p>
    <w:p w:rsidR="00690379" w:rsidRPr="00043680" w:rsidRDefault="00690379" w:rsidP="0027754A">
      <w:pPr>
        <w:ind w:left="360"/>
        <w:rPr>
          <w:rFonts w:ascii="Arial" w:hAnsi="Arial" w:cs="Arial"/>
          <w:sz w:val="20"/>
          <w:szCs w:val="20"/>
        </w:rPr>
      </w:pPr>
      <w:r w:rsidRPr="00043680">
        <w:rPr>
          <w:rFonts w:ascii="Arial" w:hAnsi="Arial" w:cs="Arial"/>
          <w:sz w:val="20"/>
          <w:szCs w:val="20"/>
        </w:rPr>
        <w:t>GRDC funding is provided by the German Government through the Federal Institute of Hydrology (BfG) on a continuous basis.</w:t>
      </w:r>
    </w:p>
    <w:p w:rsidR="00690379" w:rsidRPr="00043680" w:rsidRDefault="00690379" w:rsidP="00F14F38">
      <w:pPr>
        <w:ind w:left="720"/>
        <w:rPr>
          <w:rFonts w:ascii="Arial" w:hAnsi="Arial" w:cs="Arial"/>
          <w:sz w:val="20"/>
          <w:szCs w:val="20"/>
        </w:rPr>
      </w:pPr>
    </w:p>
    <w:p w:rsidR="00690379" w:rsidRPr="001A511A" w:rsidRDefault="00690379" w:rsidP="001A511A">
      <w:pPr>
        <w:widowControl w:val="0"/>
        <w:numPr>
          <w:ilvl w:val="0"/>
          <w:numId w:val="1"/>
        </w:numPr>
        <w:tabs>
          <w:tab w:val="left" w:pos="220"/>
          <w:tab w:val="left" w:pos="720"/>
        </w:tabs>
        <w:autoSpaceDE w:val="0"/>
        <w:autoSpaceDN w:val="0"/>
        <w:adjustRightInd w:val="0"/>
        <w:spacing w:after="120"/>
        <w:ind w:hanging="720"/>
        <w:rPr>
          <w:rFonts w:ascii="Arial" w:hAnsi="Arial" w:cs="Arial"/>
          <w:sz w:val="21"/>
          <w:szCs w:val="21"/>
        </w:rPr>
      </w:pPr>
      <w:r w:rsidRPr="001A511A">
        <w:rPr>
          <w:rFonts w:ascii="Arial" w:hAnsi="Arial" w:cs="Arial"/>
          <w:sz w:val="21"/>
          <w:szCs w:val="21"/>
        </w:rPr>
        <w:t>Objectives:</w:t>
      </w:r>
    </w:p>
    <w:p w:rsidR="005B7C1D" w:rsidRDefault="00690379" w:rsidP="00796049">
      <w:pPr>
        <w:ind w:left="360"/>
        <w:rPr>
          <w:rFonts w:ascii="Arial" w:hAnsi="Arial" w:cs="Arial"/>
          <w:sz w:val="20"/>
          <w:szCs w:val="20"/>
        </w:rPr>
      </w:pPr>
      <w:r w:rsidRPr="00043680">
        <w:rPr>
          <w:rFonts w:ascii="Arial" w:hAnsi="Arial" w:cs="Arial"/>
          <w:sz w:val="20"/>
          <w:szCs w:val="20"/>
        </w:rPr>
        <w:t xml:space="preserve">The main objective of the GRDC is the world-wide acquisition, storage and dissemination of historical river discharge data in support of the predominantly water and climate related </w:t>
      </w:r>
      <w:proofErr w:type="spellStart"/>
      <w:r w:rsidRPr="00043680">
        <w:rPr>
          <w:rFonts w:ascii="Arial" w:hAnsi="Arial" w:cs="Arial"/>
          <w:sz w:val="20"/>
          <w:szCs w:val="20"/>
        </w:rPr>
        <w:t>programmes</w:t>
      </w:r>
      <w:proofErr w:type="spellEnd"/>
      <w:r w:rsidRPr="00043680">
        <w:rPr>
          <w:rFonts w:ascii="Arial" w:hAnsi="Arial" w:cs="Arial"/>
          <w:sz w:val="20"/>
          <w:szCs w:val="20"/>
        </w:rPr>
        <w:t xml:space="preserve"> and projects of the United Nations (UN), their </w:t>
      </w:r>
      <w:proofErr w:type="spellStart"/>
      <w:r w:rsidRPr="00043680">
        <w:rPr>
          <w:rFonts w:ascii="Arial" w:hAnsi="Arial" w:cs="Arial"/>
          <w:sz w:val="20"/>
          <w:szCs w:val="20"/>
        </w:rPr>
        <w:t>specialised</w:t>
      </w:r>
      <w:proofErr w:type="spellEnd"/>
      <w:r w:rsidRPr="00043680">
        <w:rPr>
          <w:rFonts w:ascii="Arial" w:hAnsi="Arial" w:cs="Arial"/>
          <w:sz w:val="20"/>
          <w:szCs w:val="20"/>
        </w:rPr>
        <w:t xml:space="preserve"> agencies and the scientific research community. </w:t>
      </w:r>
    </w:p>
    <w:p w:rsidR="005B7C1D" w:rsidRDefault="005B7C1D" w:rsidP="00796049">
      <w:pPr>
        <w:ind w:left="360"/>
        <w:rPr>
          <w:rFonts w:ascii="Arial" w:hAnsi="Arial" w:cs="Arial"/>
          <w:sz w:val="20"/>
          <w:szCs w:val="20"/>
        </w:rPr>
      </w:pPr>
    </w:p>
    <w:p w:rsidR="00690379" w:rsidRPr="00043680" w:rsidRDefault="00690379" w:rsidP="00796049">
      <w:pPr>
        <w:ind w:left="360"/>
        <w:rPr>
          <w:rFonts w:ascii="Arial" w:hAnsi="Arial" w:cs="Arial"/>
          <w:sz w:val="20"/>
          <w:szCs w:val="20"/>
        </w:rPr>
      </w:pPr>
      <w:r w:rsidRPr="00043680">
        <w:rPr>
          <w:rFonts w:ascii="Arial" w:hAnsi="Arial" w:cs="Arial"/>
          <w:sz w:val="20"/>
          <w:szCs w:val="20"/>
        </w:rPr>
        <w:t>Additionally the GRDC has the following objectives:</w:t>
      </w:r>
    </w:p>
    <w:p w:rsidR="00690379" w:rsidRPr="00043680" w:rsidRDefault="00690379"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Operation and further development of the GRDC database, improvement of integration with external databases, contribution to the development as well as application and propagation of international standards for metadata, discharge data exchange and data structures</w:t>
      </w:r>
    </w:p>
    <w:p w:rsidR="00690379" w:rsidRPr="00043680" w:rsidRDefault="00690379"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 xml:space="preserve">Preparation and maintenance of applied global data products and discharge-related geo-information,  partly in collaboration with </w:t>
      </w:r>
      <w:proofErr w:type="spellStart"/>
      <w:r w:rsidRPr="00043680">
        <w:rPr>
          <w:rFonts w:ascii="Arial" w:hAnsi="Arial" w:cs="Arial"/>
          <w:sz w:val="20"/>
          <w:szCs w:val="20"/>
        </w:rPr>
        <w:t>specialised</w:t>
      </w:r>
      <w:proofErr w:type="spellEnd"/>
      <w:r w:rsidRPr="00043680">
        <w:rPr>
          <w:rFonts w:ascii="Arial" w:hAnsi="Arial" w:cs="Arial"/>
          <w:sz w:val="20"/>
          <w:szCs w:val="20"/>
        </w:rPr>
        <w:t xml:space="preserve"> external institutions  </w:t>
      </w:r>
    </w:p>
    <w:p w:rsidR="00690379" w:rsidRPr="00043680" w:rsidRDefault="00690379"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 xml:space="preserve">Collaboration with and consulting of international </w:t>
      </w:r>
      <w:proofErr w:type="spellStart"/>
      <w:r w:rsidRPr="00043680">
        <w:rPr>
          <w:rFonts w:ascii="Arial" w:hAnsi="Arial" w:cs="Arial"/>
          <w:sz w:val="20"/>
          <w:szCs w:val="20"/>
        </w:rPr>
        <w:t>organisations</w:t>
      </w:r>
      <w:proofErr w:type="spellEnd"/>
      <w:r w:rsidRPr="00043680">
        <w:rPr>
          <w:rFonts w:ascii="Arial" w:hAnsi="Arial" w:cs="Arial"/>
          <w:sz w:val="20"/>
          <w:szCs w:val="20"/>
        </w:rPr>
        <w:t xml:space="preserve">, other world data </w:t>
      </w:r>
      <w:proofErr w:type="spellStart"/>
      <w:r w:rsidRPr="00043680">
        <w:rPr>
          <w:rFonts w:ascii="Arial" w:hAnsi="Arial" w:cs="Arial"/>
          <w:sz w:val="20"/>
          <w:szCs w:val="20"/>
        </w:rPr>
        <w:t>centres</w:t>
      </w:r>
      <w:proofErr w:type="spellEnd"/>
      <w:r w:rsidRPr="00043680">
        <w:rPr>
          <w:rFonts w:ascii="Arial" w:hAnsi="Arial" w:cs="Arial"/>
          <w:sz w:val="20"/>
          <w:szCs w:val="20"/>
        </w:rPr>
        <w:t xml:space="preserve"> a</w:t>
      </w:r>
      <w:r>
        <w:rPr>
          <w:rFonts w:ascii="Arial" w:hAnsi="Arial" w:cs="Arial"/>
          <w:sz w:val="20"/>
          <w:szCs w:val="20"/>
        </w:rPr>
        <w:t>nd</w:t>
      </w:r>
      <w:r w:rsidRPr="00043680">
        <w:rPr>
          <w:rFonts w:ascii="Arial" w:hAnsi="Arial" w:cs="Arial"/>
          <w:sz w:val="20"/>
          <w:szCs w:val="20"/>
        </w:rPr>
        <w:t xml:space="preserve"> foreign institutions in the fields of hydrology, water resources as well as data management and data acquisition. This includes active participation in a number of national and international working groups, steering committees and panels.</w:t>
      </w:r>
    </w:p>
    <w:p w:rsidR="00690379" w:rsidRPr="00043680" w:rsidRDefault="00690379" w:rsidP="00F14F38">
      <w:pPr>
        <w:rPr>
          <w:rFonts w:ascii="Arial" w:hAnsi="Arial" w:cs="Arial"/>
          <w:sz w:val="20"/>
          <w:szCs w:val="20"/>
        </w:rPr>
      </w:pPr>
    </w:p>
    <w:p w:rsidR="00690379" w:rsidRPr="001A511A" w:rsidRDefault="00690379" w:rsidP="001A511A">
      <w:pPr>
        <w:widowControl w:val="0"/>
        <w:numPr>
          <w:ilvl w:val="0"/>
          <w:numId w:val="1"/>
        </w:numPr>
        <w:tabs>
          <w:tab w:val="left" w:pos="220"/>
          <w:tab w:val="left" w:pos="720"/>
        </w:tabs>
        <w:autoSpaceDE w:val="0"/>
        <w:autoSpaceDN w:val="0"/>
        <w:adjustRightInd w:val="0"/>
        <w:spacing w:after="120"/>
        <w:ind w:hanging="720"/>
        <w:rPr>
          <w:rFonts w:ascii="Arial" w:hAnsi="Arial" w:cs="Arial"/>
          <w:sz w:val="21"/>
          <w:szCs w:val="21"/>
        </w:rPr>
      </w:pPr>
      <w:r w:rsidRPr="001A511A">
        <w:rPr>
          <w:rFonts w:ascii="Arial" w:hAnsi="Arial" w:cs="Arial"/>
          <w:sz w:val="21"/>
          <w:szCs w:val="21"/>
        </w:rPr>
        <w:t>Status:</w:t>
      </w:r>
    </w:p>
    <w:p w:rsidR="00690379" w:rsidRPr="00043680" w:rsidRDefault="00690379" w:rsidP="00796049">
      <w:pPr>
        <w:ind w:left="360"/>
        <w:rPr>
          <w:rFonts w:ascii="Arial" w:hAnsi="Arial" w:cs="Arial"/>
          <w:sz w:val="20"/>
          <w:szCs w:val="20"/>
        </w:rPr>
      </w:pPr>
      <w:r w:rsidRPr="00043680">
        <w:rPr>
          <w:rFonts w:ascii="Arial" w:hAnsi="Arial" w:cs="Arial"/>
          <w:sz w:val="20"/>
          <w:szCs w:val="20"/>
        </w:rPr>
        <w:t xml:space="preserve">During the reporting period the GRDC managed to acquire discharge data from </w:t>
      </w:r>
      <w:r w:rsidR="009A0EB0">
        <w:rPr>
          <w:rFonts w:ascii="Arial" w:hAnsi="Arial" w:cs="Arial"/>
          <w:sz w:val="20"/>
          <w:szCs w:val="20"/>
        </w:rPr>
        <w:t>13</w:t>
      </w:r>
      <w:r w:rsidRPr="00043680">
        <w:rPr>
          <w:rFonts w:ascii="Arial" w:hAnsi="Arial" w:cs="Arial"/>
          <w:sz w:val="20"/>
          <w:szCs w:val="20"/>
        </w:rPr>
        <w:t xml:space="preserve"> countries around the world. For </w:t>
      </w:r>
      <w:r w:rsidR="005B7C1D">
        <w:rPr>
          <w:rFonts w:ascii="Arial" w:hAnsi="Arial" w:cs="Arial"/>
          <w:sz w:val="20"/>
          <w:szCs w:val="20"/>
        </w:rPr>
        <w:t>several</w:t>
      </w:r>
      <w:r w:rsidRPr="00043680">
        <w:rPr>
          <w:rFonts w:ascii="Arial" w:hAnsi="Arial" w:cs="Arial"/>
          <w:sz w:val="20"/>
          <w:szCs w:val="20"/>
        </w:rPr>
        <w:t xml:space="preserve"> countries updates are now received at regular intervals. Numerous contacts </w:t>
      </w:r>
      <w:r w:rsidR="00584F7F" w:rsidRPr="00043680">
        <w:rPr>
          <w:rFonts w:ascii="Arial" w:hAnsi="Arial" w:cs="Arial"/>
          <w:sz w:val="20"/>
          <w:szCs w:val="20"/>
        </w:rPr>
        <w:t>were</w:t>
      </w:r>
      <w:r w:rsidRPr="00043680">
        <w:rPr>
          <w:rFonts w:ascii="Arial" w:hAnsi="Arial" w:cs="Arial"/>
          <w:sz w:val="20"/>
          <w:szCs w:val="20"/>
        </w:rPr>
        <w:t xml:space="preserve"> made and more deliverie</w:t>
      </w:r>
      <w:r w:rsidR="009A0EB0">
        <w:rPr>
          <w:rFonts w:ascii="Arial" w:hAnsi="Arial" w:cs="Arial"/>
          <w:sz w:val="20"/>
          <w:szCs w:val="20"/>
        </w:rPr>
        <w:t>s of discharge data are pending, especially in the European region.</w:t>
      </w:r>
    </w:p>
    <w:p w:rsidR="00690379" w:rsidRPr="00043680" w:rsidRDefault="00690379" w:rsidP="00796049">
      <w:pPr>
        <w:ind w:left="360"/>
        <w:rPr>
          <w:rFonts w:ascii="Arial" w:hAnsi="Arial" w:cs="Arial"/>
          <w:sz w:val="20"/>
          <w:szCs w:val="20"/>
        </w:rPr>
      </w:pPr>
      <w:r w:rsidRPr="00043680">
        <w:rPr>
          <w:rFonts w:ascii="Arial" w:hAnsi="Arial" w:cs="Arial"/>
          <w:sz w:val="20"/>
          <w:szCs w:val="20"/>
        </w:rPr>
        <w:t xml:space="preserve">. </w:t>
      </w:r>
    </w:p>
    <w:p w:rsidR="00690379" w:rsidRPr="00043680" w:rsidRDefault="00690379" w:rsidP="00796049">
      <w:pPr>
        <w:ind w:left="360"/>
        <w:rPr>
          <w:rFonts w:ascii="Arial" w:hAnsi="Arial" w:cs="Arial"/>
          <w:sz w:val="20"/>
          <w:szCs w:val="20"/>
        </w:rPr>
      </w:pPr>
      <w:r w:rsidRPr="00043680">
        <w:rPr>
          <w:rFonts w:ascii="Arial" w:hAnsi="Arial" w:cs="Arial"/>
          <w:sz w:val="20"/>
          <w:szCs w:val="20"/>
        </w:rPr>
        <w:t>Active involvement of the GRDC in the OGC Hydrology Domain Working Group is continuing, especial</w:t>
      </w:r>
      <w:r w:rsidR="009A0EB0">
        <w:rPr>
          <w:rFonts w:ascii="Arial" w:hAnsi="Arial" w:cs="Arial"/>
          <w:sz w:val="20"/>
          <w:szCs w:val="20"/>
        </w:rPr>
        <w:t xml:space="preserve">ly on </w:t>
      </w:r>
      <w:r w:rsidR="005B7C1D">
        <w:rPr>
          <w:rFonts w:ascii="Arial" w:hAnsi="Arial" w:cs="Arial"/>
          <w:sz w:val="20"/>
          <w:szCs w:val="20"/>
        </w:rPr>
        <w:t>conceptual</w:t>
      </w:r>
      <w:r w:rsidR="009A0EB0">
        <w:rPr>
          <w:rFonts w:ascii="Arial" w:hAnsi="Arial" w:cs="Arial"/>
          <w:sz w:val="20"/>
          <w:szCs w:val="20"/>
        </w:rPr>
        <w:t xml:space="preserve"> models. The GRDC has</w:t>
      </w:r>
      <w:r w:rsidRPr="00043680">
        <w:rPr>
          <w:rFonts w:ascii="Arial" w:hAnsi="Arial" w:cs="Arial"/>
          <w:sz w:val="20"/>
          <w:szCs w:val="20"/>
        </w:rPr>
        <w:t xml:space="preserve"> representing WMO interests in this working group </w:t>
      </w:r>
      <w:r w:rsidR="009A0EB0">
        <w:rPr>
          <w:rFonts w:ascii="Arial" w:hAnsi="Arial" w:cs="Arial"/>
          <w:sz w:val="20"/>
          <w:szCs w:val="20"/>
        </w:rPr>
        <w:t xml:space="preserve">until June 2014 when the head of the GRDC stepped down as one of the co-chairs. Further developments are still closely </w:t>
      </w:r>
      <w:r w:rsidR="005B7C1D">
        <w:rPr>
          <w:rFonts w:ascii="Arial" w:hAnsi="Arial" w:cs="Arial"/>
          <w:sz w:val="20"/>
          <w:szCs w:val="20"/>
        </w:rPr>
        <w:t>monitored</w:t>
      </w:r>
      <w:r w:rsidR="009A0EB0">
        <w:rPr>
          <w:rFonts w:ascii="Arial" w:hAnsi="Arial" w:cs="Arial"/>
          <w:sz w:val="20"/>
          <w:szCs w:val="20"/>
        </w:rPr>
        <w:t>.</w:t>
      </w:r>
    </w:p>
    <w:p w:rsidR="00690379" w:rsidRDefault="00690379" w:rsidP="00796049">
      <w:pPr>
        <w:ind w:left="360"/>
        <w:rPr>
          <w:rFonts w:ascii="Arial" w:hAnsi="Arial" w:cs="Arial"/>
          <w:sz w:val="20"/>
          <w:szCs w:val="20"/>
        </w:rPr>
      </w:pPr>
    </w:p>
    <w:p w:rsidR="00690379" w:rsidRPr="00043680" w:rsidRDefault="00690379" w:rsidP="00796049">
      <w:pPr>
        <w:ind w:left="360"/>
        <w:rPr>
          <w:rFonts w:ascii="Arial" w:hAnsi="Arial" w:cs="Arial"/>
          <w:sz w:val="20"/>
          <w:szCs w:val="20"/>
        </w:rPr>
      </w:pPr>
      <w:r>
        <w:rPr>
          <w:rFonts w:ascii="Arial" w:hAnsi="Arial" w:cs="Arial"/>
          <w:sz w:val="20"/>
          <w:szCs w:val="20"/>
        </w:rPr>
        <w:t>T</w:t>
      </w:r>
      <w:r w:rsidRPr="00043680">
        <w:rPr>
          <w:rFonts w:ascii="Arial" w:hAnsi="Arial" w:cs="Arial"/>
          <w:sz w:val="20"/>
          <w:szCs w:val="20"/>
        </w:rPr>
        <w:t>he Global Terrestrial Network for River Discharge (GTN-R) is still lacking support from several countries.</w:t>
      </w:r>
      <w:r w:rsidR="009A0EB0">
        <w:rPr>
          <w:rFonts w:ascii="Arial" w:hAnsi="Arial" w:cs="Arial"/>
          <w:sz w:val="20"/>
          <w:szCs w:val="20"/>
        </w:rPr>
        <w:t xml:space="preserve"> However, almost 20 countries have agreed to make their GTN-R data freely available </w:t>
      </w:r>
      <w:r w:rsidR="009A0EB0">
        <w:rPr>
          <w:rFonts w:ascii="Arial" w:hAnsi="Arial" w:cs="Arial"/>
          <w:sz w:val="20"/>
          <w:szCs w:val="20"/>
        </w:rPr>
        <w:lastRenderedPageBreak/>
        <w:t>without restrictions. The GRDC is preparing the techn</w:t>
      </w:r>
      <w:r w:rsidR="005B7C1D">
        <w:rPr>
          <w:rFonts w:ascii="Arial" w:hAnsi="Arial" w:cs="Arial"/>
          <w:sz w:val="20"/>
          <w:szCs w:val="20"/>
        </w:rPr>
        <w:t>ology</w:t>
      </w:r>
      <w:r w:rsidR="009A0EB0">
        <w:rPr>
          <w:rFonts w:ascii="Arial" w:hAnsi="Arial" w:cs="Arial"/>
          <w:sz w:val="20"/>
          <w:szCs w:val="20"/>
        </w:rPr>
        <w:t xml:space="preserve"> to make these data available through the GEOSS </w:t>
      </w:r>
      <w:r w:rsidR="005B7C1D">
        <w:rPr>
          <w:rFonts w:ascii="Arial" w:hAnsi="Arial" w:cs="Arial"/>
          <w:sz w:val="20"/>
          <w:szCs w:val="20"/>
        </w:rPr>
        <w:t xml:space="preserve">and other </w:t>
      </w:r>
      <w:r w:rsidR="009A0EB0">
        <w:rPr>
          <w:rFonts w:ascii="Arial" w:hAnsi="Arial" w:cs="Arial"/>
          <w:sz w:val="20"/>
          <w:szCs w:val="20"/>
        </w:rPr>
        <w:t>portal</w:t>
      </w:r>
      <w:r w:rsidR="005B7C1D">
        <w:rPr>
          <w:rFonts w:ascii="Arial" w:hAnsi="Arial" w:cs="Arial"/>
          <w:sz w:val="20"/>
          <w:szCs w:val="20"/>
        </w:rPr>
        <w:t>s</w:t>
      </w:r>
      <w:r w:rsidR="009A0EB0">
        <w:rPr>
          <w:rFonts w:ascii="Arial" w:hAnsi="Arial" w:cs="Arial"/>
          <w:sz w:val="20"/>
          <w:szCs w:val="20"/>
        </w:rPr>
        <w:t>.</w:t>
      </w:r>
    </w:p>
    <w:p w:rsidR="00690379" w:rsidRPr="00043680" w:rsidRDefault="00690379" w:rsidP="00796049">
      <w:pPr>
        <w:ind w:left="360"/>
        <w:rPr>
          <w:rFonts w:ascii="Arial" w:hAnsi="Arial" w:cs="Arial"/>
          <w:sz w:val="20"/>
          <w:szCs w:val="20"/>
        </w:rPr>
      </w:pPr>
    </w:p>
    <w:p w:rsidR="00690379" w:rsidRDefault="00690379" w:rsidP="00796049">
      <w:pPr>
        <w:ind w:left="360"/>
        <w:rPr>
          <w:rFonts w:ascii="Arial" w:hAnsi="Arial" w:cs="Arial"/>
          <w:sz w:val="20"/>
          <w:szCs w:val="20"/>
        </w:rPr>
      </w:pPr>
      <w:r w:rsidRPr="00043680">
        <w:rPr>
          <w:rFonts w:ascii="Arial" w:hAnsi="Arial" w:cs="Arial"/>
          <w:sz w:val="20"/>
          <w:szCs w:val="20"/>
        </w:rPr>
        <w:t xml:space="preserve">In </w:t>
      </w:r>
      <w:r w:rsidR="009A0EB0">
        <w:rPr>
          <w:rFonts w:ascii="Arial" w:hAnsi="Arial" w:cs="Arial"/>
          <w:sz w:val="20"/>
          <w:szCs w:val="20"/>
        </w:rPr>
        <w:t>June 2014</w:t>
      </w:r>
      <w:r w:rsidRPr="00043680">
        <w:rPr>
          <w:rFonts w:ascii="Arial" w:hAnsi="Arial" w:cs="Arial"/>
          <w:sz w:val="20"/>
          <w:szCs w:val="20"/>
        </w:rPr>
        <w:t xml:space="preserve"> the GRDC database holds world-wide discharge data of </w:t>
      </w:r>
      <w:r w:rsidR="009A0EB0">
        <w:rPr>
          <w:rFonts w:ascii="Arial" w:hAnsi="Arial" w:cs="Arial"/>
          <w:sz w:val="20"/>
          <w:szCs w:val="20"/>
        </w:rPr>
        <w:t>9,009 stations in 160</w:t>
      </w:r>
      <w:r w:rsidRPr="00043680">
        <w:rPr>
          <w:rFonts w:ascii="Arial" w:hAnsi="Arial" w:cs="Arial"/>
          <w:sz w:val="20"/>
          <w:szCs w:val="20"/>
        </w:rPr>
        <w:t xml:space="preserve"> countries featuring around </w:t>
      </w:r>
      <w:r w:rsidR="009A0EB0">
        <w:rPr>
          <w:rFonts w:ascii="Arial" w:hAnsi="Arial" w:cs="Arial"/>
          <w:sz w:val="20"/>
          <w:szCs w:val="20"/>
        </w:rPr>
        <w:t>370</w:t>
      </w:r>
      <w:r w:rsidRPr="00043680">
        <w:rPr>
          <w:rFonts w:ascii="Arial" w:hAnsi="Arial" w:cs="Arial"/>
          <w:sz w:val="20"/>
          <w:szCs w:val="20"/>
        </w:rPr>
        <w:t>,000 station-years of monthly and daily values with an average time-series length of 41 years.</w:t>
      </w:r>
    </w:p>
    <w:p w:rsidR="005B7C1D" w:rsidRPr="00043680" w:rsidRDefault="005B7C1D" w:rsidP="00796049">
      <w:pPr>
        <w:ind w:left="360"/>
        <w:rPr>
          <w:rFonts w:ascii="Arial" w:hAnsi="Arial" w:cs="Arial"/>
          <w:sz w:val="20"/>
          <w:szCs w:val="20"/>
        </w:rPr>
      </w:pPr>
    </w:p>
    <w:p w:rsidR="00690379" w:rsidRDefault="00690379" w:rsidP="00796049">
      <w:pPr>
        <w:ind w:left="360"/>
        <w:rPr>
          <w:rFonts w:ascii="Arial" w:hAnsi="Arial" w:cs="Arial"/>
          <w:sz w:val="20"/>
          <w:szCs w:val="20"/>
        </w:rPr>
      </w:pPr>
      <w:r w:rsidRPr="00043680">
        <w:rPr>
          <w:rFonts w:ascii="Arial" w:hAnsi="Arial" w:cs="Arial"/>
          <w:sz w:val="20"/>
          <w:szCs w:val="20"/>
        </w:rPr>
        <w:t xml:space="preserve">Additionally the GRDC maintains the following </w:t>
      </w:r>
      <w:proofErr w:type="spellStart"/>
      <w:r w:rsidRPr="00043680">
        <w:rPr>
          <w:rFonts w:ascii="Arial" w:hAnsi="Arial" w:cs="Arial"/>
          <w:sz w:val="20"/>
          <w:szCs w:val="20"/>
        </w:rPr>
        <w:t>specialised</w:t>
      </w:r>
      <w:proofErr w:type="spellEnd"/>
      <w:r w:rsidRPr="00043680">
        <w:rPr>
          <w:rFonts w:ascii="Arial" w:hAnsi="Arial" w:cs="Arial"/>
          <w:sz w:val="20"/>
          <w:szCs w:val="20"/>
        </w:rPr>
        <w:t xml:space="preserve"> databases:</w:t>
      </w:r>
    </w:p>
    <w:p w:rsidR="00690379" w:rsidRPr="00043680" w:rsidRDefault="00690379" w:rsidP="00796049">
      <w:pPr>
        <w:ind w:left="360"/>
        <w:rPr>
          <w:rFonts w:ascii="Arial" w:hAnsi="Arial" w:cs="Arial"/>
          <w:sz w:val="20"/>
          <w:szCs w:val="20"/>
        </w:rPr>
      </w:pPr>
    </w:p>
    <w:p w:rsidR="00690379" w:rsidRPr="00043680" w:rsidRDefault="00690379"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 xml:space="preserve">Arctic Runoff Database (ARDB) containing data from over 2400 stations specifically for the arctic research community associated with the WCRP ACSYS and </w:t>
      </w:r>
      <w:proofErr w:type="spellStart"/>
      <w:r w:rsidRPr="00043680">
        <w:rPr>
          <w:rFonts w:ascii="Arial" w:hAnsi="Arial" w:cs="Arial"/>
          <w:sz w:val="20"/>
          <w:szCs w:val="20"/>
        </w:rPr>
        <w:t>CLiC</w:t>
      </w:r>
      <w:proofErr w:type="spellEnd"/>
      <w:r w:rsidRPr="00043680">
        <w:rPr>
          <w:rFonts w:ascii="Arial" w:hAnsi="Arial" w:cs="Arial"/>
          <w:sz w:val="20"/>
          <w:szCs w:val="20"/>
        </w:rPr>
        <w:t xml:space="preserve"> </w:t>
      </w:r>
      <w:proofErr w:type="spellStart"/>
      <w:r w:rsidRPr="00043680">
        <w:rPr>
          <w:rFonts w:ascii="Arial" w:hAnsi="Arial" w:cs="Arial"/>
          <w:sz w:val="20"/>
          <w:szCs w:val="20"/>
        </w:rPr>
        <w:t>Programmes</w:t>
      </w:r>
      <w:proofErr w:type="spellEnd"/>
      <w:r w:rsidRPr="00043680">
        <w:rPr>
          <w:rFonts w:ascii="Arial" w:hAnsi="Arial" w:cs="Arial"/>
          <w:sz w:val="20"/>
          <w:szCs w:val="20"/>
        </w:rPr>
        <w:t>.</w:t>
      </w:r>
    </w:p>
    <w:p w:rsidR="00690379" w:rsidRPr="00043680" w:rsidRDefault="00690379"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 xml:space="preserve">Global Terrestrial Network for River Discharge (GTN-R) database for near real-time data, a contribution towards the </w:t>
      </w:r>
      <w:hyperlink r:id="rId6" w:tgtFrame="Contents" w:history="1">
        <w:r w:rsidRPr="00043680">
          <w:rPr>
            <w:rFonts w:ascii="Arial" w:hAnsi="Arial" w:cs="Arial"/>
            <w:sz w:val="20"/>
            <w:szCs w:val="20"/>
          </w:rPr>
          <w:t>Implementation Plan for the Global Observing System for Climate</w:t>
        </w:r>
      </w:hyperlink>
      <w:r w:rsidRPr="00043680">
        <w:rPr>
          <w:rFonts w:ascii="Arial" w:hAnsi="Arial" w:cs="Arial"/>
          <w:sz w:val="20"/>
          <w:szCs w:val="20"/>
        </w:rPr>
        <w:t xml:space="preserve"> and to </w:t>
      </w:r>
      <w:hyperlink r:id="rId7" w:tgtFrame="Contents" w:history="1">
        <w:r w:rsidRPr="00043680">
          <w:rPr>
            <w:rFonts w:ascii="Arial" w:hAnsi="Arial" w:cs="Arial"/>
            <w:sz w:val="20"/>
            <w:szCs w:val="20"/>
          </w:rPr>
          <w:t>GTN-H</w:t>
        </w:r>
      </w:hyperlink>
      <w:r w:rsidRPr="00043680">
        <w:rPr>
          <w:rFonts w:ascii="Arial" w:hAnsi="Arial" w:cs="Arial"/>
          <w:sz w:val="20"/>
          <w:szCs w:val="20"/>
        </w:rPr>
        <w:t>.</w:t>
      </w:r>
    </w:p>
    <w:p w:rsidR="00690379" w:rsidRPr="00043680" w:rsidRDefault="00690379"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European Water Archive (EWA) in support of the European Flow Regimes from International Experim</w:t>
      </w:r>
      <w:r>
        <w:rPr>
          <w:rFonts w:ascii="Arial" w:hAnsi="Arial" w:cs="Arial"/>
          <w:sz w:val="20"/>
          <w:szCs w:val="20"/>
        </w:rPr>
        <w:t>ental and Network Data (EURO</w:t>
      </w:r>
      <w:r w:rsidRPr="00043680">
        <w:rPr>
          <w:rFonts w:ascii="Arial" w:hAnsi="Arial" w:cs="Arial"/>
          <w:sz w:val="20"/>
          <w:szCs w:val="20"/>
        </w:rPr>
        <w:t>-FRIEND</w:t>
      </w:r>
      <w:r>
        <w:rPr>
          <w:rFonts w:ascii="Arial" w:hAnsi="Arial" w:cs="Arial"/>
          <w:sz w:val="20"/>
          <w:szCs w:val="20"/>
        </w:rPr>
        <w:t>-Water</w:t>
      </w:r>
      <w:r w:rsidRPr="00043680">
        <w:rPr>
          <w:rFonts w:ascii="Arial" w:hAnsi="Arial" w:cs="Arial"/>
          <w:sz w:val="20"/>
          <w:szCs w:val="20"/>
        </w:rPr>
        <w:t>) research community</w:t>
      </w:r>
    </w:p>
    <w:p w:rsidR="00690379" w:rsidRPr="00043680" w:rsidRDefault="00690379"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 xml:space="preserve">GRDC Reference Dataset referencing 718 evenly spread GRDC stations to cover the globe in a 2.5° grid. The basin area is at least 10,000 km² in size with a time-series of at least 20 years. </w:t>
      </w:r>
    </w:p>
    <w:p w:rsidR="005B7C1D" w:rsidRPr="005B7C1D" w:rsidRDefault="00690379" w:rsidP="002A5128">
      <w:pPr>
        <w:widowControl w:val="0"/>
        <w:numPr>
          <w:ilvl w:val="0"/>
          <w:numId w:val="4"/>
        </w:numPr>
        <w:tabs>
          <w:tab w:val="clear" w:pos="1512"/>
        </w:tabs>
        <w:autoSpaceDE w:val="0"/>
        <w:autoSpaceDN w:val="0"/>
        <w:adjustRightInd w:val="0"/>
        <w:spacing w:after="120"/>
        <w:ind w:left="540" w:hanging="180"/>
        <w:rPr>
          <w:rFonts w:ascii="Arial" w:hAnsi="Arial" w:cs="Arial"/>
          <w:sz w:val="21"/>
          <w:szCs w:val="21"/>
        </w:rPr>
      </w:pPr>
      <w:r w:rsidRPr="00043680">
        <w:rPr>
          <w:rFonts w:ascii="Arial" w:hAnsi="Arial" w:cs="Arial"/>
          <w:sz w:val="20"/>
          <w:szCs w:val="20"/>
        </w:rPr>
        <w:t xml:space="preserve">Climate Sensitive Stations Dataset of currently </w:t>
      </w:r>
      <w:r>
        <w:rPr>
          <w:rFonts w:ascii="Arial" w:hAnsi="Arial" w:cs="Arial"/>
          <w:sz w:val="20"/>
          <w:szCs w:val="20"/>
        </w:rPr>
        <w:t>1,1</w:t>
      </w:r>
      <w:r w:rsidR="005B7C1D">
        <w:rPr>
          <w:rFonts w:ascii="Arial" w:hAnsi="Arial" w:cs="Arial"/>
          <w:sz w:val="20"/>
          <w:szCs w:val="20"/>
        </w:rPr>
        <w:t>75</w:t>
      </w:r>
      <w:r w:rsidRPr="00043680">
        <w:rPr>
          <w:rFonts w:ascii="Arial" w:hAnsi="Arial" w:cs="Arial"/>
          <w:sz w:val="20"/>
          <w:szCs w:val="20"/>
        </w:rPr>
        <w:t xml:space="preserve"> GRDC </w:t>
      </w:r>
      <w:r w:rsidRPr="0087698C">
        <w:rPr>
          <w:rFonts w:ascii="Arial" w:hAnsi="Arial" w:cs="Arial"/>
          <w:sz w:val="20"/>
          <w:szCs w:val="20"/>
        </w:rPr>
        <w:t>stations from 27 countries</w:t>
      </w:r>
      <w:r w:rsidRPr="00043680">
        <w:rPr>
          <w:rFonts w:ascii="Arial" w:hAnsi="Arial" w:cs="Arial"/>
          <w:sz w:val="20"/>
          <w:szCs w:val="20"/>
        </w:rPr>
        <w:t xml:space="preserve"> identified by the countries as stations representing climate sensitive river ba</w:t>
      </w:r>
      <w:r w:rsidR="005B7C1D">
        <w:rPr>
          <w:rFonts w:ascii="Arial" w:hAnsi="Arial" w:cs="Arial"/>
          <w:sz w:val="20"/>
          <w:szCs w:val="20"/>
        </w:rPr>
        <w:t>sins having minimal disturbance.</w:t>
      </w:r>
    </w:p>
    <w:p w:rsidR="00690379" w:rsidRDefault="00690379" w:rsidP="005B7C1D">
      <w:pPr>
        <w:widowControl w:val="0"/>
        <w:autoSpaceDE w:val="0"/>
        <w:autoSpaceDN w:val="0"/>
        <w:adjustRightInd w:val="0"/>
        <w:spacing w:after="120"/>
        <w:ind w:left="540"/>
        <w:rPr>
          <w:rFonts w:ascii="Arial" w:hAnsi="Arial" w:cs="Arial"/>
          <w:sz w:val="21"/>
          <w:szCs w:val="21"/>
        </w:rPr>
      </w:pPr>
      <w:r w:rsidRPr="00043680">
        <w:rPr>
          <w:rFonts w:ascii="Arial" w:hAnsi="Arial" w:cs="Arial"/>
          <w:sz w:val="20"/>
          <w:szCs w:val="20"/>
        </w:rPr>
        <w:t xml:space="preserve"> </w:t>
      </w:r>
    </w:p>
    <w:p w:rsidR="00D8244A" w:rsidRPr="00D8244A" w:rsidRDefault="00690379" w:rsidP="00D8244A">
      <w:pPr>
        <w:widowControl w:val="0"/>
        <w:numPr>
          <w:ilvl w:val="0"/>
          <w:numId w:val="1"/>
        </w:numPr>
        <w:tabs>
          <w:tab w:val="left" w:pos="220"/>
          <w:tab w:val="left" w:pos="720"/>
        </w:tabs>
        <w:autoSpaceDE w:val="0"/>
        <w:autoSpaceDN w:val="0"/>
        <w:adjustRightInd w:val="0"/>
        <w:spacing w:after="120"/>
        <w:ind w:hanging="720"/>
        <w:rPr>
          <w:rFonts w:ascii="Arial" w:hAnsi="Arial" w:cs="Arial"/>
          <w:sz w:val="21"/>
          <w:szCs w:val="21"/>
        </w:rPr>
      </w:pPr>
      <w:r w:rsidRPr="001A511A">
        <w:rPr>
          <w:rFonts w:ascii="Arial" w:hAnsi="Arial" w:cs="Arial"/>
          <w:sz w:val="21"/>
          <w:szCs w:val="21"/>
        </w:rPr>
        <w:t>Key results:</w:t>
      </w:r>
    </w:p>
    <w:p w:rsidR="00D8244A" w:rsidRDefault="00D8244A"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Pr>
          <w:rFonts w:ascii="Arial" w:hAnsi="Arial" w:cs="Arial"/>
          <w:sz w:val="20"/>
          <w:szCs w:val="20"/>
        </w:rPr>
        <w:t>Consolidated data requests to many European countries with first results visible</w:t>
      </w:r>
    </w:p>
    <w:p w:rsidR="00690379" w:rsidRPr="00043680" w:rsidRDefault="00690379"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Rive</w:t>
      </w:r>
      <w:r>
        <w:rPr>
          <w:rFonts w:ascii="Arial" w:hAnsi="Arial" w:cs="Arial"/>
          <w:sz w:val="20"/>
          <w:szCs w:val="20"/>
        </w:rPr>
        <w:t>r discharge data u</w:t>
      </w:r>
      <w:r w:rsidR="00D8244A">
        <w:rPr>
          <w:rFonts w:ascii="Arial" w:hAnsi="Arial" w:cs="Arial"/>
          <w:sz w:val="20"/>
          <w:szCs w:val="20"/>
        </w:rPr>
        <w:t>pdates for about 3,000</w:t>
      </w:r>
      <w:r w:rsidR="009A0EB0">
        <w:rPr>
          <w:rFonts w:ascii="Arial" w:hAnsi="Arial" w:cs="Arial"/>
          <w:sz w:val="20"/>
          <w:szCs w:val="20"/>
        </w:rPr>
        <w:t xml:space="preserve"> stations from 13</w:t>
      </w:r>
      <w:r>
        <w:rPr>
          <w:rFonts w:ascii="Arial" w:hAnsi="Arial" w:cs="Arial"/>
          <w:sz w:val="20"/>
          <w:szCs w:val="20"/>
        </w:rPr>
        <w:t xml:space="preserve"> countries</w:t>
      </w:r>
    </w:p>
    <w:p w:rsidR="00D8244A" w:rsidRDefault="00690379"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Provision of GRDC station catalogue and KMZ files on Website to visualize all stations using Google Earth together with basic station metadata</w:t>
      </w:r>
    </w:p>
    <w:p w:rsidR="00690379" w:rsidRDefault="00D8244A"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Pr>
          <w:rFonts w:ascii="Arial" w:hAnsi="Arial" w:cs="Arial"/>
          <w:sz w:val="20"/>
          <w:szCs w:val="20"/>
        </w:rPr>
        <w:t>Negotiating the unrestricted access the time series data for almost 300 stations belonging to the GTN-R network</w:t>
      </w:r>
    </w:p>
    <w:p w:rsidR="00D8244A" w:rsidRPr="00043680" w:rsidRDefault="00D8244A"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Pr>
          <w:rFonts w:ascii="Arial" w:hAnsi="Arial" w:cs="Arial"/>
          <w:sz w:val="20"/>
          <w:szCs w:val="20"/>
        </w:rPr>
        <w:t xml:space="preserve">Providing information and web-services from </w:t>
      </w:r>
      <w:r w:rsidRPr="00D8244A">
        <w:rPr>
          <w:rFonts w:ascii="Arial" w:hAnsi="Arial" w:cs="Arial"/>
          <w:sz w:val="20"/>
          <w:szCs w:val="20"/>
          <w:lang w:val="en"/>
        </w:rPr>
        <w:t>the Global Freshwater Fluxes into the World Oceans re-calculated in 2014</w:t>
      </w:r>
      <w:r>
        <w:rPr>
          <w:rFonts w:ascii="Arial" w:hAnsi="Arial" w:cs="Arial"/>
          <w:sz w:val="20"/>
          <w:szCs w:val="20"/>
          <w:lang w:val="en"/>
        </w:rPr>
        <w:t>,</w:t>
      </w:r>
      <w:r w:rsidRPr="00D8244A">
        <w:rPr>
          <w:rFonts w:ascii="Arial" w:hAnsi="Arial" w:cs="Arial"/>
          <w:sz w:val="20"/>
          <w:szCs w:val="20"/>
          <w:lang w:val="en"/>
        </w:rPr>
        <w:t xml:space="preserve"> based on results from the global hydrological model </w:t>
      </w:r>
      <w:proofErr w:type="spellStart"/>
      <w:r w:rsidRPr="00D8244A">
        <w:rPr>
          <w:rFonts w:ascii="Arial" w:hAnsi="Arial" w:cs="Arial"/>
          <w:i/>
          <w:iCs/>
          <w:sz w:val="20"/>
          <w:szCs w:val="20"/>
          <w:lang w:val="en"/>
        </w:rPr>
        <w:t>WaterGAP</w:t>
      </w:r>
      <w:proofErr w:type="spellEnd"/>
      <w:r w:rsidRPr="00D8244A">
        <w:rPr>
          <w:rFonts w:ascii="Arial" w:hAnsi="Arial" w:cs="Arial"/>
          <w:i/>
          <w:iCs/>
          <w:sz w:val="20"/>
          <w:szCs w:val="20"/>
          <w:lang w:val="en"/>
        </w:rPr>
        <w:t xml:space="preserve"> </w:t>
      </w:r>
      <w:r w:rsidRPr="00D8244A">
        <w:rPr>
          <w:rFonts w:ascii="Arial" w:hAnsi="Arial" w:cs="Arial"/>
          <w:sz w:val="20"/>
          <w:szCs w:val="20"/>
          <w:lang w:val="en"/>
        </w:rPr>
        <w:t>(</w:t>
      </w:r>
      <w:proofErr w:type="spellStart"/>
      <w:r w:rsidRPr="00D8244A">
        <w:rPr>
          <w:rFonts w:ascii="Arial" w:hAnsi="Arial" w:cs="Arial"/>
          <w:sz w:val="20"/>
          <w:szCs w:val="20"/>
          <w:lang w:val="en"/>
        </w:rPr>
        <w:t>Doell</w:t>
      </w:r>
      <w:proofErr w:type="spellEnd"/>
      <w:r w:rsidRPr="00D8244A">
        <w:rPr>
          <w:rFonts w:ascii="Arial" w:hAnsi="Arial" w:cs="Arial"/>
          <w:sz w:val="20"/>
          <w:szCs w:val="20"/>
          <w:lang w:val="en"/>
        </w:rPr>
        <w:t xml:space="preserve"> et al., 2003)</w:t>
      </w:r>
      <w:r w:rsidRPr="00D8244A">
        <w:rPr>
          <w:rFonts w:ascii="Arial" w:hAnsi="Arial" w:cs="Arial"/>
          <w:i/>
          <w:iCs/>
          <w:sz w:val="20"/>
          <w:szCs w:val="20"/>
          <w:lang w:val="en"/>
        </w:rPr>
        <w:t xml:space="preserve"> </w:t>
      </w:r>
      <w:r w:rsidRPr="00D8244A">
        <w:rPr>
          <w:rFonts w:ascii="Arial" w:hAnsi="Arial" w:cs="Arial"/>
          <w:sz w:val="20"/>
          <w:szCs w:val="20"/>
          <w:lang w:val="en"/>
        </w:rPr>
        <w:t>for 0.5° grid cell resolution</w:t>
      </w:r>
      <w:r>
        <w:rPr>
          <w:rFonts w:ascii="Arial" w:hAnsi="Arial" w:cs="Arial"/>
          <w:sz w:val="20"/>
          <w:szCs w:val="20"/>
          <w:lang w:val="en"/>
        </w:rPr>
        <w:t>. The annual fluxes are available for a 50 year period (1960 – 2009)</w:t>
      </w:r>
    </w:p>
    <w:p w:rsidR="00690379" w:rsidRPr="00043680" w:rsidRDefault="00690379"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 xml:space="preserve">Recalculation of Long Term Mean Monthly Discharges for </w:t>
      </w:r>
      <w:r>
        <w:rPr>
          <w:rFonts w:ascii="Arial" w:hAnsi="Arial" w:cs="Arial"/>
          <w:sz w:val="20"/>
          <w:szCs w:val="20"/>
        </w:rPr>
        <w:t xml:space="preserve">more than </w:t>
      </w:r>
      <w:r w:rsidR="00D8244A">
        <w:rPr>
          <w:rFonts w:ascii="Arial" w:hAnsi="Arial" w:cs="Arial"/>
          <w:sz w:val="20"/>
          <w:szCs w:val="20"/>
        </w:rPr>
        <w:t>3,800</w:t>
      </w:r>
      <w:r w:rsidRPr="00043680">
        <w:rPr>
          <w:rFonts w:ascii="Arial" w:hAnsi="Arial" w:cs="Arial"/>
          <w:sz w:val="20"/>
          <w:szCs w:val="20"/>
        </w:rPr>
        <w:t xml:space="preserve"> stations available on the Website. Provided information include mean, minimum, maximum monthly discharge, its standard deviation and time series of mean, minimum, maximum annual discharge</w:t>
      </w:r>
    </w:p>
    <w:p w:rsidR="00690379" w:rsidRDefault="00690379" w:rsidP="00796049">
      <w:pPr>
        <w:widowControl w:val="0"/>
        <w:autoSpaceDE w:val="0"/>
        <w:autoSpaceDN w:val="0"/>
        <w:adjustRightInd w:val="0"/>
        <w:spacing w:after="120"/>
        <w:ind w:left="180"/>
        <w:rPr>
          <w:rFonts w:ascii="Arial" w:hAnsi="Arial" w:cs="Arial"/>
          <w:sz w:val="21"/>
          <w:szCs w:val="21"/>
        </w:rPr>
      </w:pPr>
    </w:p>
    <w:p w:rsidR="00690379" w:rsidRPr="00796049" w:rsidRDefault="00690379" w:rsidP="00796049">
      <w:pPr>
        <w:widowControl w:val="0"/>
        <w:numPr>
          <w:ilvl w:val="0"/>
          <w:numId w:val="1"/>
        </w:numPr>
        <w:tabs>
          <w:tab w:val="left" w:pos="220"/>
          <w:tab w:val="left" w:pos="720"/>
        </w:tabs>
        <w:autoSpaceDE w:val="0"/>
        <w:autoSpaceDN w:val="0"/>
        <w:adjustRightInd w:val="0"/>
        <w:spacing w:after="120"/>
        <w:ind w:hanging="720"/>
        <w:rPr>
          <w:rFonts w:ascii="Arial" w:hAnsi="Arial" w:cs="Arial"/>
          <w:sz w:val="21"/>
          <w:szCs w:val="21"/>
        </w:rPr>
      </w:pPr>
      <w:r>
        <w:rPr>
          <w:rFonts w:ascii="Arial" w:hAnsi="Arial" w:cs="Arial"/>
          <w:sz w:val="21"/>
          <w:szCs w:val="21"/>
        </w:rPr>
        <w:t>Workshops and meetings held</w:t>
      </w:r>
      <w:r w:rsidRPr="00796049">
        <w:rPr>
          <w:rFonts w:ascii="Arial" w:hAnsi="Arial" w:cs="Arial"/>
          <w:sz w:val="21"/>
          <w:szCs w:val="21"/>
        </w:rPr>
        <w:t xml:space="preserve"> </w:t>
      </w:r>
    </w:p>
    <w:p w:rsidR="008E0E24" w:rsidRPr="008E0E24" w:rsidRDefault="008E0E24" w:rsidP="008E0E24">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8E0E24">
        <w:rPr>
          <w:rFonts w:ascii="Arial" w:hAnsi="Arial" w:cs="Arial"/>
          <w:sz w:val="20"/>
          <w:szCs w:val="20"/>
        </w:rPr>
        <w:t>16</w:t>
      </w:r>
      <w:r w:rsidRPr="008E0E24">
        <w:rPr>
          <w:rFonts w:ascii="Arial" w:hAnsi="Arial" w:cs="Arial"/>
          <w:sz w:val="20"/>
          <w:szCs w:val="20"/>
          <w:vertAlign w:val="superscript"/>
        </w:rPr>
        <w:t>th</w:t>
      </w:r>
      <w:r w:rsidRPr="008E0E24">
        <w:rPr>
          <w:rFonts w:ascii="Arial" w:hAnsi="Arial" w:cs="Arial"/>
          <w:sz w:val="20"/>
          <w:szCs w:val="20"/>
        </w:rPr>
        <w:t xml:space="preserve"> Session of the WMO Europe Regional Association, 11-16 September 2013, Helsinki, Finland</w:t>
      </w:r>
    </w:p>
    <w:p w:rsidR="008E0E24" w:rsidRPr="008E0E24" w:rsidRDefault="008E0E24" w:rsidP="008E0E24">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8E0E24">
        <w:rPr>
          <w:rFonts w:ascii="Arial" w:hAnsi="Arial" w:cs="Arial"/>
          <w:sz w:val="20"/>
          <w:szCs w:val="20"/>
        </w:rPr>
        <w:t>10</w:t>
      </w:r>
      <w:r w:rsidRPr="008E0E24">
        <w:rPr>
          <w:rFonts w:ascii="Arial" w:hAnsi="Arial" w:cs="Arial"/>
          <w:sz w:val="20"/>
          <w:szCs w:val="20"/>
          <w:vertAlign w:val="superscript"/>
        </w:rPr>
        <w:t>th</w:t>
      </w:r>
      <w:r w:rsidRPr="008E0E24">
        <w:rPr>
          <w:rFonts w:ascii="Arial" w:hAnsi="Arial" w:cs="Arial"/>
          <w:sz w:val="20"/>
          <w:szCs w:val="20"/>
        </w:rPr>
        <w:t xml:space="preserve"> Session of the WMO WHYCOS International Advisory Group (WIAG-10), 10-11 October 2013, Geneva, Switzerland</w:t>
      </w:r>
    </w:p>
    <w:p w:rsidR="00A0316D" w:rsidRDefault="008E0E24" w:rsidP="00A0316D">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8E0E24">
        <w:rPr>
          <w:rFonts w:ascii="Arial" w:hAnsi="Arial" w:cs="Arial"/>
          <w:sz w:val="20"/>
          <w:szCs w:val="20"/>
        </w:rPr>
        <w:t xml:space="preserve">16th Session of the Terrestrial Observation Panel for Climate (TOPC), </w:t>
      </w:r>
      <w:r w:rsidR="00A0316D">
        <w:rPr>
          <w:rFonts w:ascii="Arial" w:hAnsi="Arial" w:cs="Arial"/>
          <w:sz w:val="20"/>
          <w:szCs w:val="20"/>
        </w:rPr>
        <w:t xml:space="preserve">10-11 </w:t>
      </w:r>
      <w:r w:rsidRPr="008E0E24">
        <w:rPr>
          <w:rFonts w:ascii="Arial" w:hAnsi="Arial" w:cs="Arial"/>
          <w:sz w:val="20"/>
          <w:szCs w:val="20"/>
        </w:rPr>
        <w:t>March 2014, Geneva, Switzerland</w:t>
      </w:r>
    </w:p>
    <w:p w:rsidR="00A0316D" w:rsidRPr="00A0316D" w:rsidRDefault="00A0316D" w:rsidP="00A0316D">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A0316D">
        <w:rPr>
          <w:rFonts w:ascii="Arial" w:hAnsi="Arial" w:cs="Arial"/>
          <w:sz w:val="20"/>
          <w:szCs w:val="20"/>
        </w:rPr>
        <w:t>Arctic-HYCOS Planning and Implementation Meeting</w:t>
      </w:r>
      <w:r>
        <w:rPr>
          <w:rFonts w:ascii="Arial" w:hAnsi="Arial" w:cs="Arial"/>
          <w:sz w:val="20"/>
          <w:szCs w:val="20"/>
        </w:rPr>
        <w:t>,</w:t>
      </w:r>
      <w:r w:rsidRPr="00A0316D">
        <w:rPr>
          <w:rFonts w:ascii="Arial" w:hAnsi="Arial" w:cs="Arial"/>
          <w:sz w:val="20"/>
          <w:szCs w:val="20"/>
        </w:rPr>
        <w:t xml:space="preserve"> 26–27 March 2014, Geneva, Switzerland</w:t>
      </w:r>
    </w:p>
    <w:p w:rsidR="008E0E24" w:rsidRPr="008E0E24" w:rsidRDefault="008E0E24" w:rsidP="008E0E24">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8E0E24">
        <w:rPr>
          <w:rFonts w:ascii="Arial" w:hAnsi="Arial" w:cs="Arial"/>
          <w:sz w:val="20"/>
          <w:szCs w:val="20"/>
        </w:rPr>
        <w:t>Annual OGC Hydrology Domain Working Group Workshop</w:t>
      </w:r>
      <w:r w:rsidR="00A0316D">
        <w:rPr>
          <w:rFonts w:ascii="Arial" w:hAnsi="Arial" w:cs="Arial"/>
          <w:sz w:val="20"/>
          <w:szCs w:val="20"/>
        </w:rPr>
        <w:t>, August</w:t>
      </w:r>
      <w:r w:rsidRPr="008E0E24">
        <w:rPr>
          <w:rFonts w:ascii="Arial" w:hAnsi="Arial" w:cs="Arial"/>
          <w:sz w:val="20"/>
          <w:szCs w:val="20"/>
        </w:rPr>
        <w:t xml:space="preserve"> 2014, </w:t>
      </w:r>
      <w:r w:rsidR="00A0316D">
        <w:rPr>
          <w:rFonts w:ascii="Arial" w:hAnsi="Arial" w:cs="Arial"/>
          <w:sz w:val="20"/>
          <w:szCs w:val="20"/>
        </w:rPr>
        <w:t>New York, United States</w:t>
      </w:r>
    </w:p>
    <w:p w:rsidR="008E0E24" w:rsidRDefault="00A0316D" w:rsidP="00796049">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A0316D">
        <w:rPr>
          <w:rFonts w:ascii="Arial" w:hAnsi="Arial" w:cs="Arial"/>
          <w:sz w:val="20"/>
          <w:szCs w:val="20"/>
          <w:lang w:val="en-GB"/>
        </w:rPr>
        <w:t>WMO RA VI Hydrology Forum</w:t>
      </w:r>
      <w:r>
        <w:rPr>
          <w:rFonts w:ascii="Arial" w:hAnsi="Arial" w:cs="Arial"/>
          <w:sz w:val="20"/>
          <w:szCs w:val="20"/>
          <w:lang w:val="en-GB"/>
        </w:rPr>
        <w:t xml:space="preserve">, </w:t>
      </w:r>
      <w:r w:rsidRPr="00A0316D">
        <w:rPr>
          <w:rFonts w:ascii="Arial" w:hAnsi="Arial" w:cs="Arial"/>
          <w:sz w:val="20"/>
          <w:szCs w:val="20"/>
          <w:lang w:val="en-GB"/>
        </w:rPr>
        <w:t>2</w:t>
      </w:r>
      <w:r w:rsidRPr="00A0316D">
        <w:rPr>
          <w:rFonts w:ascii="Arial" w:hAnsi="Arial" w:cs="Arial"/>
          <w:sz w:val="20"/>
          <w:szCs w:val="20"/>
        </w:rPr>
        <w:t>4</w:t>
      </w:r>
      <w:r>
        <w:rPr>
          <w:rFonts w:ascii="Arial" w:hAnsi="Arial" w:cs="Arial"/>
          <w:sz w:val="20"/>
          <w:szCs w:val="20"/>
          <w:lang w:val="en-GB"/>
        </w:rPr>
        <w:t>–2</w:t>
      </w:r>
      <w:r w:rsidRPr="00A0316D">
        <w:rPr>
          <w:rFonts w:ascii="Arial" w:hAnsi="Arial" w:cs="Arial"/>
          <w:sz w:val="20"/>
          <w:szCs w:val="20"/>
        </w:rPr>
        <w:t>6</w:t>
      </w:r>
      <w:r w:rsidRPr="00A0316D">
        <w:rPr>
          <w:rFonts w:ascii="Arial" w:hAnsi="Arial" w:cs="Arial"/>
          <w:sz w:val="20"/>
          <w:szCs w:val="20"/>
          <w:lang w:val="en-GB"/>
        </w:rPr>
        <w:t xml:space="preserve"> September 2014</w:t>
      </w:r>
      <w:r>
        <w:rPr>
          <w:rFonts w:ascii="Arial" w:hAnsi="Arial" w:cs="Arial"/>
          <w:sz w:val="20"/>
          <w:szCs w:val="20"/>
          <w:lang w:val="en-GB"/>
        </w:rPr>
        <w:t xml:space="preserve">, </w:t>
      </w:r>
      <w:r w:rsidRPr="00A0316D">
        <w:rPr>
          <w:rFonts w:ascii="Arial" w:hAnsi="Arial" w:cs="Arial"/>
          <w:sz w:val="20"/>
          <w:szCs w:val="20"/>
          <w:lang w:val="en-GB"/>
        </w:rPr>
        <w:t>Warsaw, Poland</w:t>
      </w:r>
    </w:p>
    <w:p w:rsidR="00C21487" w:rsidRDefault="008E0E24" w:rsidP="00C21487">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8E0E24">
        <w:rPr>
          <w:rFonts w:ascii="Arial" w:hAnsi="Arial" w:cs="Arial"/>
          <w:sz w:val="20"/>
          <w:szCs w:val="20"/>
        </w:rPr>
        <w:t xml:space="preserve">UNESCO FRIEND Data Group Meeting, </w:t>
      </w:r>
      <w:r w:rsidR="00A0316D">
        <w:rPr>
          <w:rFonts w:ascii="Arial" w:hAnsi="Arial" w:cs="Arial"/>
          <w:sz w:val="20"/>
          <w:szCs w:val="20"/>
        </w:rPr>
        <w:t>07-10 October</w:t>
      </w:r>
      <w:r w:rsidRPr="008E0E24">
        <w:rPr>
          <w:rFonts w:ascii="Arial" w:hAnsi="Arial" w:cs="Arial"/>
          <w:sz w:val="20"/>
          <w:szCs w:val="20"/>
        </w:rPr>
        <w:t xml:space="preserve"> 2014, </w:t>
      </w:r>
      <w:r w:rsidR="00A0316D">
        <w:rPr>
          <w:rFonts w:ascii="Arial" w:hAnsi="Arial" w:cs="Arial"/>
          <w:sz w:val="20"/>
          <w:szCs w:val="20"/>
        </w:rPr>
        <w:t>Montpellier, France</w:t>
      </w:r>
    </w:p>
    <w:p w:rsidR="008E0E24" w:rsidRPr="00C21487" w:rsidRDefault="00A0316D" w:rsidP="00C21487">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C21487">
        <w:rPr>
          <w:rFonts w:ascii="Arial" w:hAnsi="Arial" w:cs="Arial"/>
          <w:sz w:val="20"/>
          <w:szCs w:val="20"/>
        </w:rPr>
        <w:t>22nd Meeting of International Hydrological Programme (IHP)</w:t>
      </w:r>
      <w:r w:rsidR="00C21487" w:rsidRPr="00C21487">
        <w:rPr>
          <w:rFonts w:ascii="Arial" w:hAnsi="Arial" w:cs="Arial"/>
          <w:sz w:val="20"/>
          <w:szCs w:val="20"/>
        </w:rPr>
        <w:t xml:space="preserve"> </w:t>
      </w:r>
      <w:r w:rsidRPr="00C21487">
        <w:rPr>
          <w:rFonts w:ascii="Arial" w:hAnsi="Arial" w:cs="Arial"/>
          <w:sz w:val="20"/>
          <w:szCs w:val="20"/>
        </w:rPr>
        <w:t>Regional Steering</w:t>
      </w:r>
      <w:r w:rsidR="00C21487" w:rsidRPr="00C21487">
        <w:rPr>
          <w:rFonts w:ascii="Arial" w:hAnsi="Arial" w:cs="Arial"/>
          <w:sz w:val="20"/>
          <w:szCs w:val="20"/>
        </w:rPr>
        <w:t xml:space="preserve"> </w:t>
      </w:r>
      <w:r w:rsidRPr="00C21487">
        <w:rPr>
          <w:rFonts w:ascii="Arial" w:hAnsi="Arial" w:cs="Arial"/>
          <w:sz w:val="20"/>
          <w:szCs w:val="20"/>
        </w:rPr>
        <w:t xml:space="preserve">Committee (RSC) </w:t>
      </w:r>
      <w:r w:rsidRPr="00C21487">
        <w:rPr>
          <w:rFonts w:ascii="Arial" w:hAnsi="Arial" w:cs="Arial"/>
          <w:sz w:val="20"/>
          <w:szCs w:val="20"/>
        </w:rPr>
        <w:lastRenderedPageBreak/>
        <w:t>for Southeast Asia and Pacific</w:t>
      </w:r>
      <w:r w:rsidR="00C21487" w:rsidRPr="00C21487">
        <w:rPr>
          <w:rFonts w:ascii="Arial" w:hAnsi="Arial" w:cs="Arial"/>
          <w:sz w:val="20"/>
          <w:szCs w:val="20"/>
        </w:rPr>
        <w:t xml:space="preserve"> </w:t>
      </w:r>
      <w:r w:rsidRPr="00C21487">
        <w:rPr>
          <w:rFonts w:ascii="Arial" w:hAnsi="Arial" w:cs="Arial"/>
          <w:sz w:val="20"/>
          <w:szCs w:val="20"/>
        </w:rPr>
        <w:t>14–15 November 2014</w:t>
      </w:r>
      <w:r w:rsidR="00C21487" w:rsidRPr="00C21487">
        <w:rPr>
          <w:rFonts w:ascii="Arial" w:hAnsi="Arial" w:cs="Arial"/>
          <w:sz w:val="20"/>
          <w:szCs w:val="20"/>
        </w:rPr>
        <w:t xml:space="preserve"> </w:t>
      </w:r>
      <w:r w:rsidRPr="00C21487">
        <w:rPr>
          <w:rFonts w:ascii="Arial" w:hAnsi="Arial" w:cs="Arial"/>
          <w:sz w:val="20"/>
          <w:szCs w:val="20"/>
        </w:rPr>
        <w:t>Yogyakarta,</w:t>
      </w:r>
      <w:r w:rsidR="00C21487" w:rsidRPr="00C21487">
        <w:rPr>
          <w:rFonts w:ascii="Arial" w:hAnsi="Arial" w:cs="Arial"/>
          <w:sz w:val="20"/>
          <w:szCs w:val="20"/>
        </w:rPr>
        <w:t xml:space="preserve"> </w:t>
      </w:r>
      <w:r w:rsidRPr="00C21487">
        <w:rPr>
          <w:rFonts w:ascii="Arial" w:hAnsi="Arial" w:cs="Arial"/>
          <w:sz w:val="20"/>
          <w:szCs w:val="20"/>
        </w:rPr>
        <w:t>Indonesia</w:t>
      </w:r>
    </w:p>
    <w:p w:rsidR="00690379" w:rsidRPr="00704C44" w:rsidRDefault="00690379" w:rsidP="0087698C">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Pr>
          <w:rFonts w:ascii="Arial" w:hAnsi="Arial" w:cs="Arial"/>
          <w:sz w:val="20"/>
          <w:szCs w:val="20"/>
        </w:rPr>
        <w:t xml:space="preserve">WMO </w:t>
      </w:r>
      <w:r w:rsidRPr="00796049">
        <w:rPr>
          <w:rFonts w:ascii="Arial" w:hAnsi="Arial" w:cs="Arial"/>
          <w:sz w:val="20"/>
          <w:szCs w:val="20"/>
        </w:rPr>
        <w:t xml:space="preserve">Inter-Commission Coordination Group on WIGOS (ICG-WIGOS) Task Team on WIGOS Metadata (TT-WMD), </w:t>
      </w:r>
      <w:r w:rsidR="008E0E24">
        <w:rPr>
          <w:rFonts w:ascii="Arial" w:hAnsi="Arial" w:cs="Arial"/>
          <w:sz w:val="20"/>
          <w:szCs w:val="20"/>
        </w:rPr>
        <w:t>01 – 04 December 2014</w:t>
      </w:r>
      <w:r w:rsidRPr="00796049">
        <w:rPr>
          <w:rFonts w:ascii="Arial" w:hAnsi="Arial" w:cs="Arial"/>
          <w:sz w:val="20"/>
          <w:szCs w:val="20"/>
        </w:rPr>
        <w:t>, Geneva, Switzerland</w:t>
      </w:r>
    </w:p>
    <w:p w:rsidR="00690379" w:rsidRDefault="00690379" w:rsidP="006D103C">
      <w:pPr>
        <w:widowControl w:val="0"/>
        <w:autoSpaceDE w:val="0"/>
        <w:autoSpaceDN w:val="0"/>
        <w:adjustRightInd w:val="0"/>
        <w:spacing w:after="120"/>
        <w:ind w:left="360"/>
        <w:rPr>
          <w:rFonts w:ascii="Arial" w:hAnsi="Arial" w:cs="Arial"/>
          <w:sz w:val="20"/>
          <w:szCs w:val="20"/>
        </w:rPr>
      </w:pPr>
    </w:p>
    <w:p w:rsidR="00690379" w:rsidRPr="00796049" w:rsidRDefault="00690379" w:rsidP="00796049">
      <w:pPr>
        <w:widowControl w:val="0"/>
        <w:numPr>
          <w:ilvl w:val="0"/>
          <w:numId w:val="1"/>
        </w:numPr>
        <w:tabs>
          <w:tab w:val="left" w:pos="220"/>
          <w:tab w:val="left" w:pos="720"/>
        </w:tabs>
        <w:autoSpaceDE w:val="0"/>
        <w:autoSpaceDN w:val="0"/>
        <w:adjustRightInd w:val="0"/>
        <w:spacing w:after="120"/>
        <w:ind w:hanging="720"/>
        <w:rPr>
          <w:rFonts w:ascii="Arial" w:hAnsi="Arial" w:cs="Arial"/>
          <w:sz w:val="21"/>
          <w:szCs w:val="21"/>
        </w:rPr>
      </w:pPr>
      <w:r w:rsidRPr="00796049">
        <w:rPr>
          <w:rFonts w:ascii="Arial" w:hAnsi="Arial" w:cs="Arial"/>
          <w:sz w:val="21"/>
          <w:szCs w:val="21"/>
        </w:rPr>
        <w:t>Issues for the GHP and the GEWEX SSG:</w:t>
      </w:r>
    </w:p>
    <w:p w:rsidR="00690379" w:rsidRPr="00043680" w:rsidRDefault="00690379" w:rsidP="00796049">
      <w:pPr>
        <w:ind w:left="360"/>
        <w:rPr>
          <w:rFonts w:ascii="Arial" w:hAnsi="Arial" w:cs="Arial"/>
          <w:sz w:val="20"/>
          <w:szCs w:val="20"/>
        </w:rPr>
      </w:pPr>
      <w:r w:rsidRPr="00043680">
        <w:rPr>
          <w:rFonts w:ascii="Arial" w:hAnsi="Arial" w:cs="Arial"/>
          <w:sz w:val="20"/>
          <w:szCs w:val="20"/>
        </w:rPr>
        <w:t>Plea to GEWEX members who as part of their duties collect river discharge data from National Hydrological Services to remind the NHS’s of their moral obligations to provide discharge data to the GRDC. Contact details should be forwarded, so that the GRDC can negotiate the transfer of river discharge data.</w:t>
      </w:r>
    </w:p>
    <w:p w:rsidR="00690379" w:rsidRDefault="00690379" w:rsidP="00DB44DF">
      <w:pPr>
        <w:widowControl w:val="0"/>
        <w:tabs>
          <w:tab w:val="left" w:pos="220"/>
          <w:tab w:val="left" w:pos="720"/>
        </w:tabs>
        <w:autoSpaceDE w:val="0"/>
        <w:autoSpaceDN w:val="0"/>
        <w:adjustRightInd w:val="0"/>
        <w:spacing w:after="120"/>
        <w:rPr>
          <w:rFonts w:ascii="Arial" w:hAnsi="Arial" w:cs="Arial"/>
          <w:sz w:val="21"/>
          <w:szCs w:val="21"/>
        </w:rPr>
      </w:pPr>
    </w:p>
    <w:p w:rsidR="00690379" w:rsidRPr="00DB44DF" w:rsidRDefault="00690379" w:rsidP="00DB44DF">
      <w:pPr>
        <w:widowControl w:val="0"/>
        <w:tabs>
          <w:tab w:val="left" w:pos="220"/>
          <w:tab w:val="left" w:pos="720"/>
        </w:tabs>
        <w:autoSpaceDE w:val="0"/>
        <w:autoSpaceDN w:val="0"/>
        <w:adjustRightInd w:val="0"/>
        <w:spacing w:after="120"/>
        <w:rPr>
          <w:rFonts w:ascii="Arial" w:hAnsi="Arial" w:cs="Arial"/>
          <w:sz w:val="21"/>
          <w:szCs w:val="21"/>
        </w:rPr>
      </w:pPr>
    </w:p>
    <w:p w:rsidR="00690379" w:rsidRDefault="00690379" w:rsidP="00DB44DF">
      <w:pPr>
        <w:widowControl w:val="0"/>
        <w:autoSpaceDE w:val="0"/>
        <w:autoSpaceDN w:val="0"/>
        <w:adjustRightInd w:val="0"/>
        <w:rPr>
          <w:rFonts w:ascii="Times" w:hAnsi="Times" w:cs="Times"/>
          <w:b/>
          <w:bCs/>
          <w:i/>
          <w:iCs/>
          <w:kern w:val="1"/>
        </w:rPr>
      </w:pPr>
      <w:r>
        <w:rPr>
          <w:rFonts w:ascii="Times" w:hAnsi="Times" w:cs="Times"/>
          <w:b/>
          <w:bCs/>
          <w:i/>
          <w:iCs/>
          <w:kern w:val="1"/>
        </w:rPr>
        <w:t>2) GRDC activities for next year</w:t>
      </w:r>
    </w:p>
    <w:p w:rsidR="00690379" w:rsidRDefault="00690379" w:rsidP="00DB44DF">
      <w:pPr>
        <w:widowControl w:val="0"/>
        <w:autoSpaceDE w:val="0"/>
        <w:autoSpaceDN w:val="0"/>
        <w:adjustRightInd w:val="0"/>
        <w:rPr>
          <w:rFonts w:ascii="Times" w:hAnsi="Times" w:cs="Times"/>
          <w:b/>
          <w:bCs/>
          <w:i/>
          <w:iCs/>
          <w:kern w:val="1"/>
        </w:rPr>
      </w:pPr>
    </w:p>
    <w:p w:rsidR="00690379" w:rsidRDefault="00690379" w:rsidP="00590BDB">
      <w:pPr>
        <w:widowControl w:val="0"/>
        <w:numPr>
          <w:ilvl w:val="0"/>
          <w:numId w:val="2"/>
        </w:numPr>
        <w:tabs>
          <w:tab w:val="left" w:pos="220"/>
          <w:tab w:val="left" w:pos="360"/>
        </w:tabs>
        <w:autoSpaceDE w:val="0"/>
        <w:autoSpaceDN w:val="0"/>
        <w:adjustRightInd w:val="0"/>
        <w:spacing w:after="120"/>
        <w:ind w:hanging="540"/>
        <w:rPr>
          <w:rFonts w:ascii="Arial" w:hAnsi="Arial" w:cs="Arial"/>
          <w:sz w:val="21"/>
          <w:szCs w:val="21"/>
        </w:rPr>
      </w:pPr>
      <w:r>
        <w:rPr>
          <w:rFonts w:ascii="Arial" w:hAnsi="Arial" w:cs="Arial"/>
          <w:sz w:val="21"/>
          <w:szCs w:val="21"/>
        </w:rPr>
        <w:t xml:space="preserve">Future </w:t>
      </w:r>
      <w:proofErr w:type="spellStart"/>
      <w:r>
        <w:rPr>
          <w:rFonts w:ascii="Arial" w:hAnsi="Arial" w:cs="Arial"/>
          <w:sz w:val="21"/>
          <w:szCs w:val="21"/>
        </w:rPr>
        <w:t>activites</w:t>
      </w:r>
      <w:proofErr w:type="spellEnd"/>
      <w:r>
        <w:rPr>
          <w:rFonts w:ascii="Arial" w:hAnsi="Arial" w:cs="Arial"/>
          <w:sz w:val="21"/>
          <w:szCs w:val="21"/>
        </w:rPr>
        <w:t>:</w:t>
      </w:r>
      <w:r>
        <w:rPr>
          <w:rFonts w:ascii="Arial" w:hAnsi="Arial" w:cs="Arial"/>
          <w:sz w:val="21"/>
          <w:szCs w:val="21"/>
        </w:rPr>
        <w:tab/>
      </w:r>
    </w:p>
    <w:p w:rsidR="00690379" w:rsidRDefault="00690379" w:rsidP="006D103C">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 xml:space="preserve">Continued data acquisition strategy and initiatives on a regional basis to update and expand the excising historical database, at the same time try to </w:t>
      </w:r>
      <w:proofErr w:type="spellStart"/>
      <w:r w:rsidRPr="00043680">
        <w:rPr>
          <w:rFonts w:ascii="Arial" w:hAnsi="Arial" w:cs="Arial"/>
          <w:sz w:val="20"/>
          <w:szCs w:val="20"/>
        </w:rPr>
        <w:t>institutionalise</w:t>
      </w:r>
      <w:proofErr w:type="spellEnd"/>
      <w:r w:rsidRPr="00043680">
        <w:rPr>
          <w:rFonts w:ascii="Arial" w:hAnsi="Arial" w:cs="Arial"/>
          <w:sz w:val="20"/>
          <w:szCs w:val="20"/>
        </w:rPr>
        <w:t xml:space="preserve"> the provision of data and automate data downloads from National Hydrological Services that provide their discharge data via </w:t>
      </w:r>
      <w:r w:rsidR="005C21F0">
        <w:rPr>
          <w:rFonts w:ascii="Arial" w:hAnsi="Arial" w:cs="Arial"/>
          <w:sz w:val="20"/>
          <w:szCs w:val="20"/>
        </w:rPr>
        <w:t>online services</w:t>
      </w:r>
      <w:r w:rsidRPr="00043680">
        <w:rPr>
          <w:rFonts w:ascii="Arial" w:hAnsi="Arial" w:cs="Arial"/>
          <w:sz w:val="20"/>
          <w:szCs w:val="20"/>
        </w:rPr>
        <w:t>.</w:t>
      </w:r>
    </w:p>
    <w:p w:rsidR="00690379" w:rsidRPr="00043680" w:rsidRDefault="00690379" w:rsidP="006D103C">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 xml:space="preserve">Preparation of the GRDC </w:t>
      </w:r>
      <w:r w:rsidR="005C21F0">
        <w:rPr>
          <w:rFonts w:ascii="Arial" w:hAnsi="Arial" w:cs="Arial"/>
          <w:sz w:val="20"/>
          <w:szCs w:val="20"/>
        </w:rPr>
        <w:t>IT infrastructure</w:t>
      </w:r>
      <w:r w:rsidRPr="00043680">
        <w:rPr>
          <w:rFonts w:ascii="Arial" w:hAnsi="Arial" w:cs="Arial"/>
          <w:sz w:val="20"/>
          <w:szCs w:val="20"/>
        </w:rPr>
        <w:t xml:space="preserve"> to ingest and redistribute time-series data using web services  </w:t>
      </w:r>
    </w:p>
    <w:p w:rsidR="00690379" w:rsidRPr="00043680" w:rsidRDefault="00690379" w:rsidP="006D103C">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 xml:space="preserve">Continue to support the development, </w:t>
      </w:r>
      <w:proofErr w:type="spellStart"/>
      <w:r w:rsidRPr="00043680">
        <w:rPr>
          <w:rFonts w:ascii="Arial" w:hAnsi="Arial" w:cs="Arial"/>
          <w:sz w:val="20"/>
          <w:szCs w:val="20"/>
        </w:rPr>
        <w:t>standardisation</w:t>
      </w:r>
      <w:proofErr w:type="spellEnd"/>
      <w:r w:rsidRPr="00043680">
        <w:rPr>
          <w:rFonts w:ascii="Arial" w:hAnsi="Arial" w:cs="Arial"/>
          <w:sz w:val="20"/>
          <w:szCs w:val="20"/>
        </w:rPr>
        <w:t xml:space="preserve"> and implementation of standards for improved hydrological data exchange</w:t>
      </w:r>
    </w:p>
    <w:p w:rsidR="00690379" w:rsidRPr="00043680" w:rsidRDefault="00690379" w:rsidP="006D103C">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 xml:space="preserve">Support actively international </w:t>
      </w:r>
      <w:proofErr w:type="spellStart"/>
      <w:r w:rsidRPr="00043680">
        <w:rPr>
          <w:rFonts w:ascii="Arial" w:hAnsi="Arial" w:cs="Arial"/>
          <w:sz w:val="20"/>
          <w:szCs w:val="20"/>
        </w:rPr>
        <w:t>programmes</w:t>
      </w:r>
      <w:proofErr w:type="spellEnd"/>
      <w:r w:rsidRPr="00043680">
        <w:rPr>
          <w:rFonts w:ascii="Arial" w:hAnsi="Arial" w:cs="Arial"/>
          <w:sz w:val="20"/>
          <w:szCs w:val="20"/>
        </w:rPr>
        <w:t xml:space="preserve"> and initiatives for improved exchange and sharing of hydro-meteorological data</w:t>
      </w:r>
    </w:p>
    <w:p w:rsidR="00690379" w:rsidRDefault="00690379" w:rsidP="005D2BFF">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043680">
        <w:rPr>
          <w:rFonts w:ascii="Arial" w:hAnsi="Arial" w:cs="Arial"/>
          <w:sz w:val="20"/>
          <w:szCs w:val="20"/>
        </w:rPr>
        <w:t>Support the research community with relevant river discha</w:t>
      </w:r>
      <w:r>
        <w:rPr>
          <w:rFonts w:ascii="Arial" w:hAnsi="Arial" w:cs="Arial"/>
          <w:sz w:val="20"/>
          <w:szCs w:val="20"/>
        </w:rPr>
        <w:t>rge datasets and spatial products</w:t>
      </w:r>
    </w:p>
    <w:p w:rsidR="00690379" w:rsidRPr="00043680" w:rsidRDefault="00690379" w:rsidP="005D2BFF">
      <w:pPr>
        <w:widowControl w:val="0"/>
        <w:autoSpaceDE w:val="0"/>
        <w:autoSpaceDN w:val="0"/>
        <w:adjustRightInd w:val="0"/>
        <w:spacing w:after="120"/>
        <w:ind w:left="360"/>
        <w:rPr>
          <w:rFonts w:ascii="Arial" w:hAnsi="Arial" w:cs="Arial"/>
          <w:sz w:val="20"/>
          <w:szCs w:val="20"/>
        </w:rPr>
      </w:pPr>
    </w:p>
    <w:p w:rsidR="00690379" w:rsidRDefault="00690379" w:rsidP="006D103C">
      <w:pPr>
        <w:widowControl w:val="0"/>
        <w:numPr>
          <w:ilvl w:val="0"/>
          <w:numId w:val="2"/>
        </w:numPr>
        <w:tabs>
          <w:tab w:val="left" w:pos="220"/>
          <w:tab w:val="left" w:pos="360"/>
        </w:tabs>
        <w:autoSpaceDE w:val="0"/>
        <w:autoSpaceDN w:val="0"/>
        <w:adjustRightInd w:val="0"/>
        <w:spacing w:after="120"/>
        <w:ind w:hanging="540"/>
        <w:rPr>
          <w:rFonts w:ascii="Arial" w:hAnsi="Arial" w:cs="Arial"/>
          <w:sz w:val="21"/>
          <w:szCs w:val="21"/>
        </w:rPr>
      </w:pPr>
      <w:r>
        <w:rPr>
          <w:rFonts w:ascii="Arial" w:hAnsi="Arial" w:cs="Arial"/>
          <w:sz w:val="21"/>
          <w:szCs w:val="21"/>
        </w:rPr>
        <w:t>Planned workshops or meetings:</w:t>
      </w:r>
    </w:p>
    <w:p w:rsidR="008E0E24" w:rsidRPr="008E0E24" w:rsidRDefault="008E0E24" w:rsidP="008E0E24">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Pr>
          <w:rFonts w:ascii="Arial" w:hAnsi="Arial" w:cs="Arial"/>
          <w:sz w:val="20"/>
          <w:szCs w:val="20"/>
        </w:rPr>
        <w:t>17</w:t>
      </w:r>
      <w:r w:rsidRPr="008E0E24">
        <w:rPr>
          <w:rFonts w:ascii="Arial" w:hAnsi="Arial" w:cs="Arial"/>
          <w:sz w:val="20"/>
          <w:szCs w:val="20"/>
        </w:rPr>
        <w:t xml:space="preserve">th Session of the Terrestrial Observation Panel for Climate (TOPC), </w:t>
      </w:r>
      <w:r>
        <w:rPr>
          <w:rFonts w:ascii="Arial" w:hAnsi="Arial" w:cs="Arial"/>
          <w:sz w:val="20"/>
          <w:szCs w:val="20"/>
        </w:rPr>
        <w:t>1</w:t>
      </w:r>
      <w:r w:rsidRPr="008E0E24">
        <w:rPr>
          <w:rFonts w:ascii="Arial" w:hAnsi="Arial" w:cs="Arial"/>
          <w:sz w:val="20"/>
          <w:szCs w:val="20"/>
        </w:rPr>
        <w:t>6-</w:t>
      </w:r>
      <w:r>
        <w:rPr>
          <w:rFonts w:ascii="Arial" w:hAnsi="Arial" w:cs="Arial"/>
          <w:sz w:val="20"/>
          <w:szCs w:val="20"/>
        </w:rPr>
        <w:t>18 March 2015</w:t>
      </w:r>
      <w:r w:rsidRPr="008E0E24">
        <w:rPr>
          <w:rFonts w:ascii="Arial" w:hAnsi="Arial" w:cs="Arial"/>
          <w:sz w:val="20"/>
          <w:szCs w:val="20"/>
        </w:rPr>
        <w:t xml:space="preserve">, </w:t>
      </w:r>
      <w:r>
        <w:rPr>
          <w:rFonts w:ascii="Arial" w:hAnsi="Arial" w:cs="Arial"/>
          <w:sz w:val="20"/>
          <w:szCs w:val="20"/>
        </w:rPr>
        <w:t>Zurich</w:t>
      </w:r>
      <w:r w:rsidRPr="008E0E24">
        <w:rPr>
          <w:rFonts w:ascii="Arial" w:hAnsi="Arial" w:cs="Arial"/>
          <w:sz w:val="20"/>
          <w:szCs w:val="20"/>
        </w:rPr>
        <w:t>, Switzerland</w:t>
      </w:r>
    </w:p>
    <w:p w:rsidR="008E0E24" w:rsidRPr="00FB1E22" w:rsidRDefault="00C21487" w:rsidP="008E0E24">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FB1E22">
        <w:rPr>
          <w:rFonts w:ascii="Arial" w:hAnsi="Arial" w:cs="Arial"/>
          <w:sz w:val="20"/>
          <w:szCs w:val="20"/>
        </w:rPr>
        <w:t>Arctic-HYCOS Planning Meeting, 24–25 March 2014, Reykjavik, Iceland</w:t>
      </w:r>
    </w:p>
    <w:p w:rsidR="008E0E24" w:rsidRPr="008E0E24" w:rsidRDefault="008E0E24" w:rsidP="008E0E24">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Pr>
          <w:rFonts w:ascii="Arial" w:hAnsi="Arial" w:cs="Arial"/>
          <w:sz w:val="20"/>
          <w:szCs w:val="20"/>
        </w:rPr>
        <w:t>12th</w:t>
      </w:r>
      <w:r w:rsidRPr="008E0E24">
        <w:rPr>
          <w:rFonts w:ascii="Arial" w:hAnsi="Arial" w:cs="Arial"/>
          <w:sz w:val="20"/>
          <w:szCs w:val="20"/>
        </w:rPr>
        <w:t xml:space="preserve"> Meeting of the GRDC Steering Committee, 1</w:t>
      </w:r>
      <w:r>
        <w:rPr>
          <w:rFonts w:ascii="Arial" w:hAnsi="Arial" w:cs="Arial"/>
          <w:sz w:val="20"/>
          <w:szCs w:val="20"/>
        </w:rPr>
        <w:t>8</w:t>
      </w:r>
      <w:r w:rsidRPr="008E0E24">
        <w:rPr>
          <w:rFonts w:ascii="Arial" w:hAnsi="Arial" w:cs="Arial"/>
          <w:sz w:val="20"/>
          <w:szCs w:val="20"/>
        </w:rPr>
        <w:t>-</w:t>
      </w:r>
      <w:r>
        <w:rPr>
          <w:rFonts w:ascii="Arial" w:hAnsi="Arial" w:cs="Arial"/>
          <w:sz w:val="20"/>
          <w:szCs w:val="20"/>
        </w:rPr>
        <w:t>19</w:t>
      </w:r>
      <w:r w:rsidRPr="008E0E24">
        <w:rPr>
          <w:rFonts w:ascii="Arial" w:hAnsi="Arial" w:cs="Arial"/>
          <w:sz w:val="20"/>
          <w:szCs w:val="20"/>
        </w:rPr>
        <w:t xml:space="preserve"> June 201</w:t>
      </w:r>
      <w:r>
        <w:rPr>
          <w:rFonts w:ascii="Arial" w:hAnsi="Arial" w:cs="Arial"/>
          <w:sz w:val="20"/>
          <w:szCs w:val="20"/>
        </w:rPr>
        <w:t>5</w:t>
      </w:r>
      <w:r w:rsidRPr="008E0E24">
        <w:rPr>
          <w:rFonts w:ascii="Arial" w:hAnsi="Arial" w:cs="Arial"/>
          <w:sz w:val="20"/>
          <w:szCs w:val="20"/>
        </w:rPr>
        <w:t>, Koblenz, Germany</w:t>
      </w:r>
    </w:p>
    <w:p w:rsidR="008E0E24" w:rsidRPr="00FB1E22" w:rsidRDefault="008E0E24" w:rsidP="006D103C">
      <w:pPr>
        <w:widowControl w:val="0"/>
        <w:numPr>
          <w:ilvl w:val="0"/>
          <w:numId w:val="4"/>
        </w:numPr>
        <w:tabs>
          <w:tab w:val="clear" w:pos="1512"/>
        </w:tabs>
        <w:autoSpaceDE w:val="0"/>
        <w:autoSpaceDN w:val="0"/>
        <w:adjustRightInd w:val="0"/>
        <w:spacing w:after="120"/>
        <w:ind w:left="540" w:hanging="180"/>
        <w:rPr>
          <w:rFonts w:ascii="Arial" w:hAnsi="Arial" w:cs="Arial"/>
          <w:sz w:val="20"/>
          <w:szCs w:val="20"/>
        </w:rPr>
      </w:pPr>
      <w:r w:rsidRPr="00FB1E22">
        <w:rPr>
          <w:rFonts w:ascii="Arial" w:hAnsi="Arial" w:cs="Arial"/>
          <w:sz w:val="20"/>
          <w:szCs w:val="20"/>
        </w:rPr>
        <w:t>7th GTN-H Coordinating Panel Meeting, 16-17 June 2015, Koblenz, Germany</w:t>
      </w:r>
    </w:p>
    <w:p w:rsidR="00690379" w:rsidRDefault="00690379" w:rsidP="005D2BFF">
      <w:pPr>
        <w:widowControl w:val="0"/>
        <w:autoSpaceDE w:val="0"/>
        <w:autoSpaceDN w:val="0"/>
        <w:adjustRightInd w:val="0"/>
        <w:spacing w:after="120"/>
        <w:ind w:left="360"/>
        <w:rPr>
          <w:rFonts w:ascii="Arial" w:hAnsi="Arial" w:cs="Arial"/>
          <w:sz w:val="20"/>
          <w:szCs w:val="20"/>
        </w:rPr>
      </w:pPr>
    </w:p>
    <w:p w:rsidR="00690379" w:rsidRPr="005D2BFF" w:rsidRDefault="00690379" w:rsidP="005D2BFF">
      <w:pPr>
        <w:widowControl w:val="0"/>
        <w:numPr>
          <w:ilvl w:val="0"/>
          <w:numId w:val="2"/>
        </w:numPr>
        <w:tabs>
          <w:tab w:val="left" w:pos="220"/>
          <w:tab w:val="left" w:pos="360"/>
        </w:tabs>
        <w:autoSpaceDE w:val="0"/>
        <w:autoSpaceDN w:val="0"/>
        <w:adjustRightInd w:val="0"/>
        <w:spacing w:after="120"/>
        <w:ind w:hanging="540"/>
        <w:rPr>
          <w:rFonts w:ascii="Arial" w:hAnsi="Arial" w:cs="Arial"/>
          <w:sz w:val="21"/>
          <w:szCs w:val="21"/>
        </w:rPr>
      </w:pPr>
      <w:r w:rsidRPr="005D2BFF">
        <w:rPr>
          <w:rFonts w:ascii="Arial" w:hAnsi="Arial" w:cs="Arial"/>
          <w:sz w:val="21"/>
          <w:szCs w:val="21"/>
        </w:rPr>
        <w:t>New directions:</w:t>
      </w:r>
    </w:p>
    <w:p w:rsidR="00690379" w:rsidRDefault="00690379" w:rsidP="005D2BFF">
      <w:pPr>
        <w:ind w:left="360"/>
        <w:rPr>
          <w:rFonts w:ascii="Arial" w:hAnsi="Arial" w:cs="Arial"/>
          <w:sz w:val="20"/>
          <w:szCs w:val="20"/>
        </w:rPr>
      </w:pPr>
      <w:r w:rsidRPr="000B6AB2">
        <w:rPr>
          <w:rFonts w:ascii="Arial" w:hAnsi="Arial" w:cs="Arial"/>
          <w:sz w:val="20"/>
          <w:szCs w:val="20"/>
        </w:rPr>
        <w:t>The exchange of near real-time river discharge data on a global scale remains an overarching aim</w:t>
      </w:r>
      <w:r w:rsidRPr="00043680">
        <w:rPr>
          <w:rFonts w:ascii="Arial" w:hAnsi="Arial" w:cs="Arial"/>
          <w:sz w:val="20"/>
          <w:szCs w:val="20"/>
        </w:rPr>
        <w:t xml:space="preserve"> and many actions of the GRDC are directed to achieve this vision. The </w:t>
      </w:r>
      <w:r w:rsidR="005C21F0" w:rsidRPr="00043680">
        <w:rPr>
          <w:rFonts w:ascii="Arial" w:hAnsi="Arial" w:cs="Arial"/>
          <w:sz w:val="20"/>
          <w:szCs w:val="20"/>
        </w:rPr>
        <w:t>development of the GTN-R as a baseline global river discharge network is</w:t>
      </w:r>
      <w:r w:rsidRPr="00043680">
        <w:rPr>
          <w:rFonts w:ascii="Arial" w:hAnsi="Arial" w:cs="Arial"/>
          <w:sz w:val="20"/>
          <w:szCs w:val="20"/>
        </w:rPr>
        <w:t xml:space="preserve"> further pursued. Representation of the WMO in the standard setting processes for hydrological data exchange within the framework of the OGC Hydrology Domain Working Group will be </w:t>
      </w:r>
      <w:r w:rsidR="005C21F0">
        <w:rPr>
          <w:rFonts w:ascii="Arial" w:hAnsi="Arial" w:cs="Arial"/>
          <w:sz w:val="20"/>
          <w:szCs w:val="20"/>
        </w:rPr>
        <w:t>continued.</w:t>
      </w:r>
      <w:r w:rsidRPr="00043680">
        <w:rPr>
          <w:rFonts w:ascii="Arial" w:hAnsi="Arial" w:cs="Arial"/>
          <w:sz w:val="20"/>
          <w:szCs w:val="20"/>
        </w:rPr>
        <w:t xml:space="preserve"> </w:t>
      </w:r>
    </w:p>
    <w:p w:rsidR="00690379" w:rsidRDefault="00690379" w:rsidP="005D2BFF">
      <w:pPr>
        <w:ind w:left="360"/>
        <w:rPr>
          <w:rFonts w:ascii="Arial" w:hAnsi="Arial" w:cs="Arial"/>
          <w:sz w:val="20"/>
          <w:szCs w:val="20"/>
        </w:rPr>
      </w:pPr>
    </w:p>
    <w:p w:rsidR="00690379" w:rsidRDefault="00690379" w:rsidP="005D2BFF">
      <w:pPr>
        <w:ind w:left="360"/>
        <w:rPr>
          <w:rFonts w:ascii="Arial" w:hAnsi="Arial" w:cs="Arial"/>
          <w:sz w:val="20"/>
          <w:szCs w:val="20"/>
        </w:rPr>
      </w:pPr>
    </w:p>
    <w:p w:rsidR="00690379" w:rsidRDefault="00690379" w:rsidP="00DB44DF">
      <w:pPr>
        <w:widowControl w:val="0"/>
        <w:autoSpaceDE w:val="0"/>
        <w:autoSpaceDN w:val="0"/>
        <w:adjustRightInd w:val="0"/>
        <w:rPr>
          <w:rFonts w:ascii="Times" w:hAnsi="Times" w:cs="Times"/>
          <w:b/>
          <w:bCs/>
          <w:i/>
          <w:iCs/>
          <w:kern w:val="1"/>
        </w:rPr>
      </w:pPr>
      <w:r>
        <w:rPr>
          <w:rFonts w:ascii="Times" w:hAnsi="Times" w:cs="Times"/>
          <w:b/>
          <w:bCs/>
          <w:i/>
          <w:iCs/>
          <w:kern w:val="1"/>
        </w:rPr>
        <w:t>3) GRDC Contributions to the GEWEX Science Questions</w:t>
      </w:r>
    </w:p>
    <w:p w:rsidR="00690379" w:rsidRDefault="00690379" w:rsidP="00DB44DF">
      <w:pPr>
        <w:widowControl w:val="0"/>
        <w:autoSpaceDE w:val="0"/>
        <w:autoSpaceDN w:val="0"/>
        <w:adjustRightInd w:val="0"/>
        <w:spacing w:after="120"/>
        <w:rPr>
          <w:rFonts w:ascii="Arial" w:hAnsi="Arial" w:cs="Arial"/>
          <w:sz w:val="21"/>
          <w:szCs w:val="21"/>
        </w:rPr>
      </w:pPr>
    </w:p>
    <w:p w:rsidR="00690379" w:rsidRDefault="00690379" w:rsidP="005D2BFF">
      <w:pPr>
        <w:ind w:left="360"/>
        <w:rPr>
          <w:rFonts w:ascii="Arial" w:hAnsi="Arial" w:cs="Arial"/>
          <w:sz w:val="20"/>
          <w:szCs w:val="20"/>
        </w:rPr>
      </w:pPr>
      <w:r>
        <w:rPr>
          <w:rFonts w:ascii="Arial" w:hAnsi="Arial" w:cs="Arial"/>
          <w:sz w:val="20"/>
          <w:szCs w:val="20"/>
        </w:rPr>
        <w:lastRenderedPageBreak/>
        <w:t xml:space="preserve">The GRDC is contributing to the GSQ2, 3 &amp; 4. The </w:t>
      </w:r>
      <w:r w:rsidRPr="00043680">
        <w:rPr>
          <w:rFonts w:ascii="Arial" w:hAnsi="Arial" w:cs="Arial"/>
          <w:sz w:val="20"/>
          <w:szCs w:val="20"/>
        </w:rPr>
        <w:t xml:space="preserve">GRDC is </w:t>
      </w:r>
      <w:proofErr w:type="spellStart"/>
      <w:r w:rsidRPr="00043680">
        <w:rPr>
          <w:rFonts w:ascii="Arial" w:hAnsi="Arial" w:cs="Arial"/>
          <w:sz w:val="20"/>
          <w:szCs w:val="20"/>
        </w:rPr>
        <w:t>recognised</w:t>
      </w:r>
      <w:proofErr w:type="spellEnd"/>
      <w:r w:rsidRPr="00043680">
        <w:rPr>
          <w:rFonts w:ascii="Arial" w:hAnsi="Arial" w:cs="Arial"/>
          <w:sz w:val="20"/>
          <w:szCs w:val="20"/>
        </w:rPr>
        <w:t xml:space="preserve"> as one of the hydro-meteorological projects in GEWEX. As such the GRDC seeks to provide inputs to GHP Continental Scale Experiments (</w:t>
      </w:r>
      <w:hyperlink r:id="rId8" w:tgtFrame="Contents" w:history="1">
        <w:r w:rsidRPr="00043680">
          <w:rPr>
            <w:rFonts w:ascii="Arial" w:hAnsi="Arial" w:cs="Arial"/>
            <w:sz w:val="20"/>
            <w:szCs w:val="20"/>
          </w:rPr>
          <w:t>CSE</w:t>
        </w:r>
      </w:hyperlink>
      <w:r w:rsidRPr="00043680">
        <w:rPr>
          <w:rFonts w:ascii="Arial" w:hAnsi="Arial" w:cs="Arial"/>
          <w:sz w:val="20"/>
          <w:szCs w:val="20"/>
        </w:rPr>
        <w:t>) and modelling efforts by providing improved data sets.</w:t>
      </w:r>
    </w:p>
    <w:p w:rsidR="00690379" w:rsidRPr="00043680" w:rsidRDefault="00690379" w:rsidP="005D2BFF">
      <w:pPr>
        <w:ind w:left="360"/>
        <w:rPr>
          <w:rFonts w:ascii="Arial" w:hAnsi="Arial" w:cs="Arial"/>
          <w:sz w:val="20"/>
          <w:szCs w:val="20"/>
        </w:rPr>
      </w:pPr>
      <w:r w:rsidRPr="00043680">
        <w:rPr>
          <w:rFonts w:ascii="Arial" w:hAnsi="Arial" w:cs="Arial"/>
          <w:sz w:val="20"/>
          <w:szCs w:val="20"/>
        </w:rPr>
        <w:t>The objective of the GRDC is to provide quality assured discharge data to the research community. All historical data received are being put through plausibility checks. In case of failure they are referred back to the providers to ensure quality assurance procedures before the data is entered in to the database.</w:t>
      </w:r>
    </w:p>
    <w:p w:rsidR="00690379" w:rsidRPr="00043680" w:rsidRDefault="00690379" w:rsidP="005D2BFF">
      <w:pPr>
        <w:ind w:left="360"/>
        <w:rPr>
          <w:rFonts w:ascii="Arial" w:hAnsi="Arial" w:cs="Arial"/>
          <w:sz w:val="20"/>
          <w:szCs w:val="20"/>
        </w:rPr>
      </w:pPr>
      <w:r w:rsidRPr="00043680">
        <w:rPr>
          <w:rFonts w:ascii="Arial" w:hAnsi="Arial" w:cs="Arial"/>
          <w:sz w:val="20"/>
          <w:szCs w:val="20"/>
        </w:rPr>
        <w:t xml:space="preserve">Energy and water cycle process studies are dependent on </w:t>
      </w:r>
      <w:r>
        <w:rPr>
          <w:rFonts w:ascii="Arial" w:hAnsi="Arial" w:cs="Arial"/>
          <w:sz w:val="20"/>
          <w:szCs w:val="20"/>
        </w:rPr>
        <w:t>good quality data</w:t>
      </w:r>
      <w:r w:rsidRPr="00043680">
        <w:rPr>
          <w:rFonts w:ascii="Arial" w:hAnsi="Arial" w:cs="Arial"/>
          <w:sz w:val="20"/>
          <w:szCs w:val="20"/>
        </w:rPr>
        <w:t>sets and the GRDC is aiming t</w:t>
      </w:r>
      <w:r>
        <w:rPr>
          <w:rFonts w:ascii="Arial" w:hAnsi="Arial" w:cs="Arial"/>
          <w:sz w:val="20"/>
          <w:szCs w:val="20"/>
        </w:rPr>
        <w:t>o provide the required datasets for river discharge.</w:t>
      </w:r>
    </w:p>
    <w:p w:rsidR="00690379" w:rsidRPr="00043680" w:rsidRDefault="00690379" w:rsidP="005D2BFF">
      <w:pPr>
        <w:ind w:left="360"/>
        <w:rPr>
          <w:rFonts w:ascii="Arial" w:hAnsi="Arial" w:cs="Arial"/>
          <w:sz w:val="20"/>
          <w:szCs w:val="20"/>
        </w:rPr>
      </w:pPr>
      <w:r w:rsidRPr="00043680">
        <w:rPr>
          <w:rFonts w:ascii="Arial" w:hAnsi="Arial" w:cs="Arial"/>
          <w:sz w:val="20"/>
          <w:szCs w:val="20"/>
        </w:rPr>
        <w:t>The models used for the predictability studies of key water and energy cycle variables need to be validated by independent high quality observation data sets – like those of the GRDC.</w:t>
      </w:r>
    </w:p>
    <w:p w:rsidR="00690379" w:rsidRPr="00043680" w:rsidRDefault="00690379" w:rsidP="005D2BFF">
      <w:pPr>
        <w:ind w:left="360"/>
        <w:rPr>
          <w:rFonts w:ascii="Arial" w:hAnsi="Arial" w:cs="Arial"/>
          <w:sz w:val="20"/>
          <w:szCs w:val="20"/>
        </w:rPr>
      </w:pPr>
    </w:p>
    <w:p w:rsidR="00690379" w:rsidRPr="00043680" w:rsidRDefault="00690379" w:rsidP="005D2BFF">
      <w:pPr>
        <w:ind w:left="360"/>
        <w:rPr>
          <w:rFonts w:ascii="Arial" w:hAnsi="Arial" w:cs="Arial"/>
          <w:sz w:val="20"/>
          <w:szCs w:val="20"/>
        </w:rPr>
      </w:pPr>
      <w:r w:rsidRPr="00043680">
        <w:rPr>
          <w:rFonts w:ascii="Arial" w:hAnsi="Arial" w:cs="Arial"/>
          <w:sz w:val="20"/>
          <w:szCs w:val="20"/>
        </w:rPr>
        <w:t>The GRDC is completely dependent on the cooperation of National Hydrological Services for the provision of discharge data. The most convincing argument to encourage cooperation is the expressed need for good quality regional data to improve the global climate models to be able to address climate change adapt</w:t>
      </w:r>
      <w:r w:rsidR="00C21487">
        <w:rPr>
          <w:rFonts w:ascii="Arial" w:hAnsi="Arial" w:cs="Arial"/>
          <w:sz w:val="20"/>
          <w:szCs w:val="20"/>
        </w:rPr>
        <w:t>ation and mitigation strategies</w:t>
      </w:r>
      <w:r w:rsidR="00E04BAB">
        <w:rPr>
          <w:rFonts w:ascii="Arial" w:hAnsi="Arial" w:cs="Arial"/>
          <w:sz w:val="20"/>
          <w:szCs w:val="20"/>
        </w:rPr>
        <w:t>.</w:t>
      </w:r>
    </w:p>
    <w:p w:rsidR="00690379" w:rsidRDefault="00690379" w:rsidP="00DB44DF">
      <w:pPr>
        <w:widowControl w:val="0"/>
        <w:autoSpaceDE w:val="0"/>
        <w:autoSpaceDN w:val="0"/>
        <w:adjustRightInd w:val="0"/>
        <w:spacing w:after="120"/>
        <w:rPr>
          <w:rFonts w:ascii="Arial" w:hAnsi="Arial" w:cs="Arial"/>
          <w:sz w:val="21"/>
          <w:szCs w:val="21"/>
        </w:rPr>
      </w:pPr>
    </w:p>
    <w:p w:rsidR="00690379" w:rsidRDefault="00690379" w:rsidP="00DB44DF">
      <w:pPr>
        <w:widowControl w:val="0"/>
        <w:autoSpaceDE w:val="0"/>
        <w:autoSpaceDN w:val="0"/>
        <w:adjustRightInd w:val="0"/>
        <w:rPr>
          <w:rFonts w:ascii="Times" w:hAnsi="Times" w:cs="Times"/>
          <w:b/>
          <w:bCs/>
          <w:i/>
          <w:iCs/>
          <w:kern w:val="1"/>
        </w:rPr>
      </w:pPr>
      <w:r>
        <w:rPr>
          <w:rFonts w:ascii="Times" w:hAnsi="Times" w:cs="Times"/>
          <w:b/>
          <w:bCs/>
          <w:i/>
          <w:iCs/>
          <w:kern w:val="1"/>
        </w:rPr>
        <w:t>4) Activities contributing to the WCRP Grand Challenges as identified by the JSC</w:t>
      </w:r>
    </w:p>
    <w:p w:rsidR="00690379" w:rsidRPr="0027754A" w:rsidRDefault="00690379" w:rsidP="0027754A">
      <w:pPr>
        <w:ind w:left="360"/>
        <w:rPr>
          <w:rFonts w:ascii="Arial" w:hAnsi="Arial" w:cs="Arial"/>
          <w:sz w:val="20"/>
          <w:szCs w:val="20"/>
        </w:rPr>
      </w:pPr>
    </w:p>
    <w:p w:rsidR="00690379" w:rsidRPr="00043680" w:rsidRDefault="00690379" w:rsidP="0027754A">
      <w:pPr>
        <w:ind w:left="360"/>
        <w:rPr>
          <w:rFonts w:ascii="Arial" w:hAnsi="Arial" w:cs="Arial"/>
          <w:sz w:val="20"/>
          <w:szCs w:val="20"/>
        </w:rPr>
      </w:pPr>
      <w:r w:rsidRPr="00043680">
        <w:rPr>
          <w:rFonts w:ascii="Arial" w:hAnsi="Arial" w:cs="Arial"/>
          <w:sz w:val="20"/>
          <w:szCs w:val="20"/>
        </w:rPr>
        <w:t xml:space="preserve">The GRDC is a global data </w:t>
      </w:r>
      <w:proofErr w:type="spellStart"/>
      <w:r w:rsidRPr="00043680">
        <w:rPr>
          <w:rFonts w:ascii="Arial" w:hAnsi="Arial" w:cs="Arial"/>
          <w:sz w:val="20"/>
          <w:szCs w:val="20"/>
        </w:rPr>
        <w:t>centre</w:t>
      </w:r>
      <w:proofErr w:type="spellEnd"/>
      <w:r w:rsidRPr="00043680">
        <w:rPr>
          <w:rFonts w:ascii="Arial" w:hAnsi="Arial" w:cs="Arial"/>
          <w:sz w:val="20"/>
          <w:szCs w:val="20"/>
        </w:rPr>
        <w:t xml:space="preserve"> for river discharge data. It is mandated by WMO resolutions to collect data on a global scale, </w:t>
      </w:r>
      <w:proofErr w:type="spellStart"/>
      <w:r w:rsidRPr="00043680">
        <w:rPr>
          <w:rFonts w:ascii="Arial" w:hAnsi="Arial" w:cs="Arial"/>
          <w:sz w:val="20"/>
          <w:szCs w:val="20"/>
        </w:rPr>
        <w:t>harmonise</w:t>
      </w:r>
      <w:proofErr w:type="spellEnd"/>
      <w:r w:rsidRPr="00043680">
        <w:rPr>
          <w:rFonts w:ascii="Arial" w:hAnsi="Arial" w:cs="Arial"/>
          <w:sz w:val="20"/>
          <w:szCs w:val="20"/>
        </w:rPr>
        <w:t xml:space="preserve"> the data and provide the data to predominantly water and climate related </w:t>
      </w:r>
      <w:proofErr w:type="spellStart"/>
      <w:r w:rsidRPr="00043680">
        <w:rPr>
          <w:rFonts w:ascii="Arial" w:hAnsi="Arial" w:cs="Arial"/>
          <w:sz w:val="20"/>
          <w:szCs w:val="20"/>
        </w:rPr>
        <w:t>programmes</w:t>
      </w:r>
      <w:proofErr w:type="spellEnd"/>
      <w:r w:rsidRPr="00043680">
        <w:rPr>
          <w:rFonts w:ascii="Arial" w:hAnsi="Arial" w:cs="Arial"/>
          <w:sz w:val="20"/>
          <w:szCs w:val="20"/>
        </w:rPr>
        <w:t xml:space="preserve"> and projects of the United Nations (UN), their </w:t>
      </w:r>
      <w:proofErr w:type="spellStart"/>
      <w:r w:rsidRPr="00043680">
        <w:rPr>
          <w:rFonts w:ascii="Arial" w:hAnsi="Arial" w:cs="Arial"/>
          <w:sz w:val="20"/>
          <w:szCs w:val="20"/>
        </w:rPr>
        <w:t>specialised</w:t>
      </w:r>
      <w:proofErr w:type="spellEnd"/>
      <w:r w:rsidRPr="00043680">
        <w:rPr>
          <w:rFonts w:ascii="Arial" w:hAnsi="Arial" w:cs="Arial"/>
          <w:sz w:val="20"/>
          <w:szCs w:val="20"/>
        </w:rPr>
        <w:t xml:space="preserve"> agencies and the scientific research community.</w:t>
      </w:r>
    </w:p>
    <w:p w:rsidR="00690379" w:rsidRPr="00043680" w:rsidRDefault="00690379" w:rsidP="0027754A">
      <w:pPr>
        <w:ind w:left="360"/>
        <w:rPr>
          <w:rFonts w:ascii="Arial" w:hAnsi="Arial" w:cs="Arial"/>
          <w:sz w:val="20"/>
          <w:szCs w:val="20"/>
        </w:rPr>
      </w:pPr>
      <w:r w:rsidRPr="00043680">
        <w:rPr>
          <w:rFonts w:ascii="Arial" w:hAnsi="Arial" w:cs="Arial"/>
          <w:sz w:val="20"/>
          <w:szCs w:val="20"/>
        </w:rPr>
        <w:t xml:space="preserve">The provision of river discharge data from NHS’s to the GRDC is not </w:t>
      </w:r>
      <w:proofErr w:type="spellStart"/>
      <w:r w:rsidRPr="00043680">
        <w:rPr>
          <w:rFonts w:ascii="Arial" w:hAnsi="Arial" w:cs="Arial"/>
          <w:sz w:val="20"/>
          <w:szCs w:val="20"/>
        </w:rPr>
        <w:t>institutionalised</w:t>
      </w:r>
      <w:proofErr w:type="spellEnd"/>
      <w:r w:rsidRPr="00043680">
        <w:rPr>
          <w:rFonts w:ascii="Arial" w:hAnsi="Arial" w:cs="Arial"/>
          <w:sz w:val="20"/>
          <w:szCs w:val="20"/>
        </w:rPr>
        <w:t xml:space="preserve"> and is based on WMO Resolutions on the free and unrestricted exchange of </w:t>
      </w:r>
      <w:r>
        <w:rPr>
          <w:rFonts w:ascii="Arial" w:hAnsi="Arial" w:cs="Arial"/>
          <w:sz w:val="20"/>
          <w:szCs w:val="20"/>
        </w:rPr>
        <w:t>Hydro-</w:t>
      </w:r>
      <w:r w:rsidRPr="00043680">
        <w:rPr>
          <w:rFonts w:ascii="Arial" w:hAnsi="Arial" w:cs="Arial"/>
          <w:sz w:val="20"/>
          <w:szCs w:val="20"/>
        </w:rPr>
        <w:t>meteorological data.</w:t>
      </w:r>
    </w:p>
    <w:p w:rsidR="00690379" w:rsidRPr="00043680" w:rsidRDefault="00690379" w:rsidP="0027754A">
      <w:pPr>
        <w:ind w:left="360"/>
        <w:rPr>
          <w:rFonts w:ascii="Arial" w:hAnsi="Arial" w:cs="Arial"/>
          <w:sz w:val="20"/>
          <w:szCs w:val="20"/>
        </w:rPr>
      </w:pPr>
      <w:r w:rsidRPr="00043680">
        <w:rPr>
          <w:rFonts w:ascii="Arial" w:hAnsi="Arial" w:cs="Arial"/>
          <w:sz w:val="20"/>
          <w:szCs w:val="20"/>
        </w:rPr>
        <w:t xml:space="preserve">Currently the GRDC is holding quality controlled historical mean daily and/or monthly discharge data for more than </w:t>
      </w:r>
      <w:r w:rsidR="00D50C6C">
        <w:rPr>
          <w:rFonts w:ascii="Arial" w:hAnsi="Arial" w:cs="Arial"/>
          <w:sz w:val="20"/>
          <w:szCs w:val="20"/>
        </w:rPr>
        <w:t>9,000 stations from 160</w:t>
      </w:r>
      <w:r w:rsidRPr="00043680">
        <w:rPr>
          <w:rFonts w:ascii="Arial" w:hAnsi="Arial" w:cs="Arial"/>
          <w:sz w:val="20"/>
          <w:szCs w:val="20"/>
        </w:rPr>
        <w:t xml:space="preserve"> countries. The data are available free of charge to the scientific community.</w:t>
      </w:r>
    </w:p>
    <w:p w:rsidR="00690379" w:rsidRDefault="00690379" w:rsidP="0027754A">
      <w:pPr>
        <w:ind w:left="360"/>
        <w:rPr>
          <w:rFonts w:ascii="Arial" w:hAnsi="Arial" w:cs="Arial"/>
          <w:sz w:val="21"/>
          <w:szCs w:val="21"/>
        </w:rPr>
      </w:pPr>
      <w:r w:rsidRPr="00043680">
        <w:rPr>
          <w:rFonts w:ascii="Arial" w:hAnsi="Arial" w:cs="Arial"/>
          <w:sz w:val="20"/>
          <w:szCs w:val="20"/>
        </w:rPr>
        <w:t>Efforts are made to obtain near real-time river discharge data from a global baseline river gauging network for improved studies on global climate variability and change and the verification of hydro-climatological models</w:t>
      </w:r>
      <w:r>
        <w:rPr>
          <w:rFonts w:ascii="Arial" w:hAnsi="Arial" w:cs="Arial"/>
          <w:sz w:val="20"/>
          <w:szCs w:val="20"/>
        </w:rPr>
        <w:t>.</w:t>
      </w:r>
    </w:p>
    <w:p w:rsidR="00690379" w:rsidRDefault="00690379" w:rsidP="00DB44DF">
      <w:pPr>
        <w:widowControl w:val="0"/>
        <w:autoSpaceDE w:val="0"/>
        <w:autoSpaceDN w:val="0"/>
        <w:adjustRightInd w:val="0"/>
        <w:spacing w:after="120"/>
        <w:rPr>
          <w:rFonts w:ascii="Arial" w:hAnsi="Arial" w:cs="Arial"/>
          <w:sz w:val="21"/>
          <w:szCs w:val="21"/>
        </w:rPr>
      </w:pPr>
    </w:p>
    <w:p w:rsidR="00690379" w:rsidRDefault="00690379" w:rsidP="00DB44DF">
      <w:pPr>
        <w:widowControl w:val="0"/>
        <w:autoSpaceDE w:val="0"/>
        <w:autoSpaceDN w:val="0"/>
        <w:adjustRightInd w:val="0"/>
        <w:spacing w:after="120"/>
        <w:rPr>
          <w:rFonts w:ascii="Arial" w:hAnsi="Arial" w:cs="Arial"/>
          <w:sz w:val="21"/>
          <w:szCs w:val="21"/>
        </w:rPr>
      </w:pPr>
    </w:p>
    <w:p w:rsidR="00690379" w:rsidRDefault="00690379" w:rsidP="00DB44DF">
      <w:pPr>
        <w:widowControl w:val="0"/>
        <w:autoSpaceDE w:val="0"/>
        <w:autoSpaceDN w:val="0"/>
        <w:adjustRightInd w:val="0"/>
        <w:rPr>
          <w:rFonts w:ascii="Times" w:hAnsi="Times" w:cs="Times"/>
          <w:b/>
          <w:bCs/>
          <w:i/>
          <w:iCs/>
          <w:kern w:val="1"/>
        </w:rPr>
      </w:pPr>
      <w:r>
        <w:rPr>
          <w:rFonts w:ascii="Times" w:hAnsi="Times" w:cs="Times"/>
          <w:b/>
          <w:bCs/>
          <w:i/>
          <w:iCs/>
          <w:kern w:val="1"/>
        </w:rPr>
        <w:t xml:space="preserve">5) Cooperation with other GHP and WCRP projects (CLIVAR, </w:t>
      </w:r>
      <w:proofErr w:type="spellStart"/>
      <w:r>
        <w:rPr>
          <w:rFonts w:ascii="Times" w:hAnsi="Times" w:cs="Times"/>
          <w:b/>
          <w:bCs/>
          <w:i/>
          <w:iCs/>
          <w:kern w:val="1"/>
        </w:rPr>
        <w:t>CliC</w:t>
      </w:r>
      <w:proofErr w:type="spellEnd"/>
      <w:r>
        <w:rPr>
          <w:rFonts w:ascii="Times" w:hAnsi="Times" w:cs="Times"/>
          <w:b/>
          <w:bCs/>
          <w:i/>
          <w:iCs/>
          <w:kern w:val="1"/>
        </w:rPr>
        <w:t>, SPARC), outside bodies (e.g., IGBP) and links to applications</w:t>
      </w:r>
    </w:p>
    <w:p w:rsidR="00690379" w:rsidRDefault="00690379" w:rsidP="00DB44DF">
      <w:pPr>
        <w:widowControl w:val="0"/>
        <w:autoSpaceDE w:val="0"/>
        <w:autoSpaceDN w:val="0"/>
        <w:adjustRightInd w:val="0"/>
        <w:rPr>
          <w:rFonts w:ascii="Times" w:hAnsi="Times" w:cs="Times"/>
          <w:b/>
          <w:bCs/>
          <w:i/>
          <w:iCs/>
          <w:kern w:val="1"/>
        </w:rPr>
      </w:pPr>
    </w:p>
    <w:p w:rsidR="00690379" w:rsidRDefault="00690379" w:rsidP="000C651F">
      <w:pPr>
        <w:widowControl w:val="0"/>
        <w:numPr>
          <w:ilvl w:val="0"/>
          <w:numId w:val="7"/>
        </w:numPr>
        <w:autoSpaceDE w:val="0"/>
        <w:autoSpaceDN w:val="0"/>
        <w:adjustRightInd w:val="0"/>
        <w:spacing w:after="120"/>
        <w:ind w:left="360" w:hanging="180"/>
        <w:rPr>
          <w:rFonts w:ascii="Arial" w:hAnsi="Arial" w:cs="Arial"/>
          <w:sz w:val="21"/>
          <w:szCs w:val="21"/>
        </w:rPr>
      </w:pPr>
      <w:proofErr w:type="spellStart"/>
      <w:r w:rsidRPr="005A1E00">
        <w:rPr>
          <w:rFonts w:ascii="Arial" w:hAnsi="Arial" w:cs="Arial"/>
          <w:bCs/>
          <w:sz w:val="21"/>
          <w:szCs w:val="21"/>
        </w:rPr>
        <w:t>CLiC</w:t>
      </w:r>
      <w:proofErr w:type="spellEnd"/>
      <w:r w:rsidRPr="005A1E00">
        <w:rPr>
          <w:rFonts w:ascii="Arial" w:hAnsi="Arial" w:cs="Arial"/>
          <w:sz w:val="21"/>
          <w:szCs w:val="21"/>
        </w:rPr>
        <w:t xml:space="preserve"> -</w:t>
      </w:r>
      <w:r>
        <w:rPr>
          <w:rFonts w:ascii="Arial" w:hAnsi="Arial" w:cs="Arial"/>
          <w:sz w:val="21"/>
          <w:szCs w:val="21"/>
        </w:rPr>
        <w:t xml:space="preserve"> </w:t>
      </w:r>
      <w:r w:rsidRPr="005A1E00">
        <w:rPr>
          <w:rFonts w:ascii="Arial" w:hAnsi="Arial" w:cs="Arial"/>
          <w:sz w:val="20"/>
          <w:szCs w:val="20"/>
        </w:rPr>
        <w:t xml:space="preserve">Maintaining the Arctic Runoff Database (ARDB) as a subset of the GRDC database in support of </w:t>
      </w:r>
      <w:proofErr w:type="spellStart"/>
      <w:r w:rsidRPr="005A1E00">
        <w:rPr>
          <w:rFonts w:ascii="Arial" w:hAnsi="Arial" w:cs="Arial"/>
          <w:sz w:val="20"/>
          <w:szCs w:val="20"/>
        </w:rPr>
        <w:t>CliC</w:t>
      </w:r>
      <w:proofErr w:type="spellEnd"/>
      <w:r>
        <w:rPr>
          <w:rFonts w:ascii="Arial" w:hAnsi="Arial" w:cs="Arial"/>
          <w:sz w:val="21"/>
          <w:szCs w:val="21"/>
        </w:rPr>
        <w:t xml:space="preserve"> </w:t>
      </w:r>
    </w:p>
    <w:p w:rsidR="00690379" w:rsidRDefault="00690379" w:rsidP="000C651F">
      <w:pPr>
        <w:widowControl w:val="0"/>
        <w:numPr>
          <w:ilvl w:val="0"/>
          <w:numId w:val="7"/>
        </w:numPr>
        <w:autoSpaceDE w:val="0"/>
        <w:autoSpaceDN w:val="0"/>
        <w:adjustRightInd w:val="0"/>
        <w:spacing w:after="120"/>
        <w:ind w:left="360" w:hanging="180"/>
        <w:rPr>
          <w:rFonts w:ascii="Arial" w:hAnsi="Arial" w:cs="Arial"/>
          <w:sz w:val="21"/>
          <w:szCs w:val="21"/>
        </w:rPr>
      </w:pPr>
      <w:r w:rsidRPr="005A1E00">
        <w:rPr>
          <w:rFonts w:ascii="Arial" w:hAnsi="Arial" w:cs="Arial"/>
          <w:bCs/>
          <w:sz w:val="21"/>
          <w:szCs w:val="21"/>
        </w:rPr>
        <w:t>UNESCO IHP FRIEND</w:t>
      </w:r>
      <w:r w:rsidR="00D50C6C">
        <w:rPr>
          <w:rFonts w:ascii="Arial" w:hAnsi="Arial" w:cs="Arial"/>
          <w:bCs/>
          <w:sz w:val="21"/>
          <w:szCs w:val="21"/>
        </w:rPr>
        <w:t>-Water</w:t>
      </w:r>
      <w:r w:rsidRPr="005A1E00">
        <w:rPr>
          <w:rFonts w:ascii="Arial" w:hAnsi="Arial" w:cs="Arial"/>
          <w:sz w:val="21"/>
          <w:szCs w:val="21"/>
        </w:rPr>
        <w:t xml:space="preserve"> –</w:t>
      </w:r>
      <w:r>
        <w:rPr>
          <w:rFonts w:ascii="Arial" w:hAnsi="Arial" w:cs="Arial"/>
          <w:sz w:val="21"/>
          <w:szCs w:val="21"/>
        </w:rPr>
        <w:t xml:space="preserve"> </w:t>
      </w:r>
      <w:r w:rsidRPr="005A1E00">
        <w:rPr>
          <w:rFonts w:ascii="Arial" w:hAnsi="Arial" w:cs="Arial"/>
          <w:sz w:val="20"/>
          <w:szCs w:val="20"/>
        </w:rPr>
        <w:t>Maintaining river discharge database for the European FRIEND</w:t>
      </w:r>
      <w:r w:rsidR="00D50C6C">
        <w:rPr>
          <w:rFonts w:ascii="Arial" w:hAnsi="Arial" w:cs="Arial"/>
          <w:sz w:val="20"/>
          <w:szCs w:val="20"/>
        </w:rPr>
        <w:t>-Water</w:t>
      </w:r>
      <w:r w:rsidRPr="005A1E00">
        <w:rPr>
          <w:rFonts w:ascii="Arial" w:hAnsi="Arial" w:cs="Arial"/>
          <w:sz w:val="20"/>
          <w:szCs w:val="20"/>
        </w:rPr>
        <w:t xml:space="preserve"> and Southern African FRIEND</w:t>
      </w:r>
      <w:r w:rsidR="00D50C6C">
        <w:rPr>
          <w:rFonts w:ascii="Arial" w:hAnsi="Arial" w:cs="Arial"/>
          <w:sz w:val="20"/>
          <w:szCs w:val="20"/>
        </w:rPr>
        <w:t>-Water</w:t>
      </w:r>
      <w:r w:rsidRPr="005A1E00">
        <w:rPr>
          <w:rFonts w:ascii="Arial" w:hAnsi="Arial" w:cs="Arial"/>
          <w:sz w:val="20"/>
          <w:szCs w:val="20"/>
        </w:rPr>
        <w:t xml:space="preserve"> </w:t>
      </w:r>
      <w:proofErr w:type="spellStart"/>
      <w:r w:rsidRPr="005A1E00">
        <w:rPr>
          <w:rFonts w:ascii="Arial" w:hAnsi="Arial" w:cs="Arial"/>
          <w:sz w:val="20"/>
          <w:szCs w:val="20"/>
        </w:rPr>
        <w:t>Programmes</w:t>
      </w:r>
      <w:proofErr w:type="spellEnd"/>
      <w:r w:rsidR="00FB1E22">
        <w:rPr>
          <w:rFonts w:ascii="Arial" w:hAnsi="Arial" w:cs="Arial"/>
          <w:sz w:val="20"/>
          <w:szCs w:val="20"/>
        </w:rPr>
        <w:t xml:space="preserve">. Negotiations </w:t>
      </w:r>
      <w:r w:rsidR="00E04BAB">
        <w:rPr>
          <w:rFonts w:ascii="Arial" w:hAnsi="Arial" w:cs="Arial"/>
          <w:sz w:val="20"/>
          <w:szCs w:val="20"/>
        </w:rPr>
        <w:t>to</w:t>
      </w:r>
      <w:r w:rsidR="00FB1E22">
        <w:rPr>
          <w:rFonts w:ascii="Arial" w:hAnsi="Arial" w:cs="Arial"/>
          <w:sz w:val="20"/>
          <w:szCs w:val="20"/>
        </w:rPr>
        <w:t xml:space="preserve"> incorporate river discharge databases from further FRIEND-Water </w:t>
      </w:r>
      <w:proofErr w:type="spellStart"/>
      <w:r w:rsidR="00E04BAB">
        <w:rPr>
          <w:rFonts w:ascii="Arial" w:hAnsi="Arial" w:cs="Arial"/>
          <w:sz w:val="20"/>
          <w:szCs w:val="20"/>
        </w:rPr>
        <w:t>Programmes</w:t>
      </w:r>
      <w:proofErr w:type="spellEnd"/>
      <w:r w:rsidR="00FB1E22">
        <w:rPr>
          <w:rFonts w:ascii="Arial" w:hAnsi="Arial" w:cs="Arial"/>
          <w:sz w:val="20"/>
          <w:szCs w:val="20"/>
        </w:rPr>
        <w:t xml:space="preserve"> (Himalaya-Hindukush, Asia-Pacific</w:t>
      </w:r>
      <w:r w:rsidR="00D50C6C">
        <w:rPr>
          <w:rFonts w:ascii="Arial" w:hAnsi="Arial" w:cs="Arial"/>
          <w:sz w:val="20"/>
          <w:szCs w:val="20"/>
        </w:rPr>
        <w:t>).</w:t>
      </w:r>
      <w:r w:rsidR="00FB1E22">
        <w:rPr>
          <w:rFonts w:ascii="Arial" w:hAnsi="Arial" w:cs="Arial"/>
          <w:sz w:val="20"/>
          <w:szCs w:val="20"/>
        </w:rPr>
        <w:t xml:space="preserve"> </w:t>
      </w:r>
    </w:p>
    <w:p w:rsidR="00690379" w:rsidRPr="005A1E00" w:rsidRDefault="00690379" w:rsidP="000C651F">
      <w:pPr>
        <w:widowControl w:val="0"/>
        <w:numPr>
          <w:ilvl w:val="0"/>
          <w:numId w:val="7"/>
        </w:numPr>
        <w:autoSpaceDE w:val="0"/>
        <w:autoSpaceDN w:val="0"/>
        <w:adjustRightInd w:val="0"/>
        <w:spacing w:after="120"/>
        <w:ind w:left="360" w:hanging="180"/>
        <w:rPr>
          <w:rFonts w:ascii="Arial" w:hAnsi="Arial" w:cs="Arial"/>
          <w:sz w:val="20"/>
          <w:szCs w:val="20"/>
        </w:rPr>
      </w:pPr>
      <w:r w:rsidRPr="005A1E00">
        <w:rPr>
          <w:rFonts w:ascii="Arial" w:hAnsi="Arial" w:cs="Arial"/>
          <w:bCs/>
          <w:sz w:val="21"/>
          <w:szCs w:val="21"/>
        </w:rPr>
        <w:t>Global Climate Observing System (GCOS)</w:t>
      </w:r>
      <w:r w:rsidRPr="005A1E00">
        <w:rPr>
          <w:rFonts w:ascii="Arial" w:hAnsi="Arial" w:cs="Arial"/>
          <w:sz w:val="21"/>
          <w:szCs w:val="21"/>
        </w:rPr>
        <w:t xml:space="preserve"> –</w:t>
      </w:r>
      <w:r>
        <w:rPr>
          <w:rFonts w:ascii="Arial" w:hAnsi="Arial" w:cs="Arial"/>
          <w:sz w:val="21"/>
          <w:szCs w:val="21"/>
        </w:rPr>
        <w:t xml:space="preserve"> </w:t>
      </w:r>
      <w:r w:rsidRPr="005A1E00">
        <w:rPr>
          <w:rFonts w:ascii="Arial" w:hAnsi="Arial" w:cs="Arial"/>
          <w:sz w:val="20"/>
          <w:szCs w:val="20"/>
        </w:rPr>
        <w:t>Maintaining and expanding the Global Terrestrial Network for River Discharge</w:t>
      </w:r>
      <w:r w:rsidR="00E04BAB">
        <w:rPr>
          <w:rFonts w:ascii="Arial" w:hAnsi="Arial" w:cs="Arial"/>
          <w:sz w:val="20"/>
          <w:szCs w:val="20"/>
        </w:rPr>
        <w:t xml:space="preserve"> (GTN-R) as a baseline network in</w:t>
      </w:r>
      <w:r w:rsidRPr="005A1E00">
        <w:rPr>
          <w:rFonts w:ascii="Arial" w:hAnsi="Arial" w:cs="Arial"/>
          <w:sz w:val="20"/>
          <w:szCs w:val="20"/>
        </w:rPr>
        <w:t xml:space="preserve"> support of GCOS, UNFCCC, GTN-Hydrology and Group on Earth Observations (GEO).</w:t>
      </w:r>
    </w:p>
    <w:p w:rsidR="00690379" w:rsidRPr="005A1E00" w:rsidRDefault="00690379" w:rsidP="000C651F">
      <w:pPr>
        <w:widowControl w:val="0"/>
        <w:numPr>
          <w:ilvl w:val="0"/>
          <w:numId w:val="7"/>
        </w:numPr>
        <w:autoSpaceDE w:val="0"/>
        <w:autoSpaceDN w:val="0"/>
        <w:adjustRightInd w:val="0"/>
        <w:spacing w:after="120"/>
        <w:ind w:left="360" w:hanging="180"/>
        <w:rPr>
          <w:rFonts w:ascii="Arial" w:hAnsi="Arial" w:cs="Arial"/>
          <w:sz w:val="20"/>
          <w:szCs w:val="20"/>
        </w:rPr>
      </w:pPr>
      <w:r w:rsidRPr="005A1E00">
        <w:rPr>
          <w:rFonts w:ascii="Arial" w:hAnsi="Arial" w:cs="Arial"/>
          <w:bCs/>
          <w:sz w:val="21"/>
          <w:szCs w:val="21"/>
        </w:rPr>
        <w:t>WMO Commission for Hydrology (CHy)</w:t>
      </w:r>
      <w:r w:rsidRPr="005A1E00">
        <w:rPr>
          <w:rFonts w:ascii="Arial" w:hAnsi="Arial" w:cs="Arial"/>
          <w:sz w:val="21"/>
          <w:szCs w:val="21"/>
        </w:rPr>
        <w:t xml:space="preserve"> –</w:t>
      </w:r>
      <w:r>
        <w:rPr>
          <w:rFonts w:ascii="Arial" w:hAnsi="Arial" w:cs="Arial"/>
          <w:sz w:val="21"/>
          <w:szCs w:val="21"/>
        </w:rPr>
        <w:t xml:space="preserve"> </w:t>
      </w:r>
      <w:r w:rsidRPr="005A1E00">
        <w:rPr>
          <w:rFonts w:ascii="Arial" w:hAnsi="Arial" w:cs="Arial"/>
          <w:sz w:val="20"/>
          <w:szCs w:val="20"/>
        </w:rPr>
        <w:t>Maintaining and expanding the river discharge data for WMO defined "Climate Sensi</w:t>
      </w:r>
      <w:r w:rsidR="00D50C6C">
        <w:rPr>
          <w:rFonts w:ascii="Arial" w:hAnsi="Arial" w:cs="Arial"/>
          <w:sz w:val="20"/>
          <w:szCs w:val="20"/>
        </w:rPr>
        <w:t>tive Stations”</w:t>
      </w:r>
      <w:r w:rsidRPr="005A1E00">
        <w:rPr>
          <w:rFonts w:ascii="Arial" w:hAnsi="Arial" w:cs="Arial"/>
          <w:sz w:val="20"/>
          <w:szCs w:val="20"/>
        </w:rPr>
        <w:t>.</w:t>
      </w:r>
    </w:p>
    <w:p w:rsidR="00690379" w:rsidRPr="000C651F" w:rsidRDefault="00690379" w:rsidP="00DB44DF">
      <w:pPr>
        <w:widowControl w:val="0"/>
        <w:autoSpaceDE w:val="0"/>
        <w:autoSpaceDN w:val="0"/>
        <w:adjustRightInd w:val="0"/>
        <w:rPr>
          <w:rFonts w:ascii="Times" w:hAnsi="Times" w:cs="Times"/>
          <w:kern w:val="1"/>
        </w:rPr>
      </w:pPr>
    </w:p>
    <w:p w:rsidR="00690379" w:rsidRDefault="00690379" w:rsidP="00DB44DF">
      <w:pPr>
        <w:widowControl w:val="0"/>
        <w:autoSpaceDE w:val="0"/>
        <w:autoSpaceDN w:val="0"/>
        <w:adjustRightInd w:val="0"/>
        <w:rPr>
          <w:rFonts w:ascii="Times" w:hAnsi="Times" w:cs="Times"/>
          <w:b/>
          <w:bCs/>
          <w:i/>
          <w:iCs/>
          <w:kern w:val="1"/>
        </w:rPr>
      </w:pPr>
      <w:r>
        <w:rPr>
          <w:rFonts w:ascii="Times" w:hAnsi="Times" w:cs="Times"/>
          <w:b/>
          <w:bCs/>
          <w:i/>
          <w:iCs/>
          <w:kern w:val="1"/>
        </w:rPr>
        <w:t>6) List of key publications</w:t>
      </w:r>
    </w:p>
    <w:p w:rsidR="00690379" w:rsidRPr="00D50C6C" w:rsidRDefault="00690379" w:rsidP="00DB44DF">
      <w:pPr>
        <w:widowControl w:val="0"/>
        <w:autoSpaceDE w:val="0"/>
        <w:autoSpaceDN w:val="0"/>
        <w:adjustRightInd w:val="0"/>
        <w:rPr>
          <w:rFonts w:ascii="Times" w:hAnsi="Times" w:cs="Times"/>
          <w:bCs/>
          <w:i/>
          <w:iCs/>
          <w:kern w:val="1"/>
          <w:sz w:val="20"/>
          <w:szCs w:val="20"/>
        </w:rPr>
      </w:pPr>
    </w:p>
    <w:p w:rsidR="00D50C6C" w:rsidRPr="00D50C6C" w:rsidRDefault="00D50C6C" w:rsidP="000C651F">
      <w:pPr>
        <w:widowControl w:val="0"/>
        <w:numPr>
          <w:ilvl w:val="0"/>
          <w:numId w:val="7"/>
        </w:numPr>
        <w:autoSpaceDE w:val="0"/>
        <w:autoSpaceDN w:val="0"/>
        <w:adjustRightInd w:val="0"/>
        <w:spacing w:after="120"/>
        <w:ind w:left="360" w:hanging="180"/>
        <w:rPr>
          <w:rFonts w:ascii="Arial" w:hAnsi="Arial" w:cs="Arial"/>
          <w:sz w:val="20"/>
          <w:szCs w:val="20"/>
        </w:rPr>
      </w:pPr>
      <w:r w:rsidRPr="00D50C6C">
        <w:rPr>
          <w:rFonts w:ascii="Arial" w:hAnsi="Arial" w:cs="Arial"/>
          <w:bCs/>
          <w:sz w:val="20"/>
          <w:szCs w:val="20"/>
          <w:lang w:val="en"/>
        </w:rPr>
        <w:t>Report 44 (Aug 2014): Global Freshwater Fluxes into the World Oceans: Technical Report prepared for the GRDC</w:t>
      </w:r>
      <w:r w:rsidRPr="00D50C6C">
        <w:rPr>
          <w:rFonts w:ascii="Arial" w:hAnsi="Arial" w:cs="Arial"/>
          <w:i/>
          <w:iCs/>
          <w:sz w:val="20"/>
          <w:szCs w:val="20"/>
          <w:lang w:val="en"/>
        </w:rPr>
        <w:t xml:space="preserve"> / </w:t>
      </w:r>
      <w:r w:rsidRPr="00D50C6C">
        <w:rPr>
          <w:rFonts w:ascii="Arial" w:hAnsi="Arial" w:cs="Arial"/>
          <w:sz w:val="20"/>
          <w:szCs w:val="20"/>
          <w:lang w:val="en"/>
        </w:rPr>
        <w:t xml:space="preserve">K. Wilkinson, M. von </w:t>
      </w:r>
      <w:proofErr w:type="spellStart"/>
      <w:r w:rsidRPr="00D50C6C">
        <w:rPr>
          <w:rFonts w:ascii="Arial" w:hAnsi="Arial" w:cs="Arial"/>
          <w:sz w:val="20"/>
          <w:szCs w:val="20"/>
          <w:lang w:val="en"/>
        </w:rPr>
        <w:t>Zabern</w:t>
      </w:r>
      <w:proofErr w:type="spellEnd"/>
      <w:r w:rsidRPr="00D50C6C">
        <w:rPr>
          <w:rFonts w:ascii="Arial" w:hAnsi="Arial" w:cs="Arial"/>
          <w:sz w:val="20"/>
          <w:szCs w:val="20"/>
          <w:lang w:val="en"/>
        </w:rPr>
        <w:t xml:space="preserve">, J. </w:t>
      </w:r>
      <w:proofErr w:type="spellStart"/>
      <w:r w:rsidRPr="00D50C6C">
        <w:rPr>
          <w:rFonts w:ascii="Arial" w:hAnsi="Arial" w:cs="Arial"/>
          <w:sz w:val="20"/>
          <w:szCs w:val="20"/>
          <w:lang w:val="en"/>
        </w:rPr>
        <w:t>Scherzer</w:t>
      </w:r>
      <w:proofErr w:type="spellEnd"/>
      <w:r w:rsidRPr="00D50C6C">
        <w:rPr>
          <w:rFonts w:ascii="Arial" w:hAnsi="Arial" w:cs="Arial"/>
          <w:sz w:val="20"/>
          <w:szCs w:val="20"/>
          <w:lang w:val="en"/>
        </w:rPr>
        <w:t xml:space="preserve"> (UDATA, Germany). -  (9 pp). – DOI: 10.5675/GRDC_Report_44</w:t>
      </w:r>
    </w:p>
    <w:p w:rsidR="00D50C6C" w:rsidRPr="00D50C6C" w:rsidRDefault="00D50C6C" w:rsidP="000C651F">
      <w:pPr>
        <w:widowControl w:val="0"/>
        <w:numPr>
          <w:ilvl w:val="0"/>
          <w:numId w:val="7"/>
        </w:numPr>
        <w:autoSpaceDE w:val="0"/>
        <w:autoSpaceDN w:val="0"/>
        <w:adjustRightInd w:val="0"/>
        <w:spacing w:after="120"/>
        <w:ind w:left="360" w:hanging="180"/>
        <w:rPr>
          <w:rFonts w:ascii="Arial" w:hAnsi="Arial" w:cs="Arial"/>
          <w:sz w:val="20"/>
          <w:szCs w:val="20"/>
        </w:rPr>
      </w:pPr>
      <w:r w:rsidRPr="00D50C6C">
        <w:rPr>
          <w:rFonts w:ascii="Arial" w:hAnsi="Arial" w:cs="Arial"/>
          <w:sz w:val="20"/>
          <w:szCs w:val="20"/>
          <w:lang w:val="en"/>
        </w:rPr>
        <w:lastRenderedPageBreak/>
        <w:t>Report 39r2 (Dec 2013): Hydrologic Information – Metadata: Semantic structure for the description of hydrologic data (GRDC Hydrologic Metadata) / I. Dornblut. (26 pp, annex 30 pp). - DOI: 10.5675/GRDC_Report_39r2</w:t>
      </w:r>
    </w:p>
    <w:p w:rsidR="00D50C6C" w:rsidRDefault="00D50C6C" w:rsidP="000C651F">
      <w:pPr>
        <w:widowControl w:val="0"/>
        <w:numPr>
          <w:ilvl w:val="0"/>
          <w:numId w:val="7"/>
        </w:numPr>
        <w:autoSpaceDE w:val="0"/>
        <w:autoSpaceDN w:val="0"/>
        <w:adjustRightInd w:val="0"/>
        <w:spacing w:after="120"/>
        <w:ind w:left="360" w:hanging="180"/>
        <w:rPr>
          <w:rFonts w:ascii="Arial" w:hAnsi="Arial" w:cs="Arial"/>
          <w:sz w:val="20"/>
          <w:szCs w:val="20"/>
        </w:rPr>
      </w:pPr>
      <w:r w:rsidRPr="00D50C6C">
        <w:rPr>
          <w:rFonts w:ascii="Arial" w:hAnsi="Arial" w:cs="Arial"/>
          <w:sz w:val="20"/>
          <w:szCs w:val="20"/>
          <w:lang w:val="en"/>
        </w:rPr>
        <w:t>Report 43r1 (Nov 2013): HY_Features: a geographic information model for the hydrology domain. Concepts of the HY_Features common hydrologic feature model / I. Dornblut, Global Runoff Data Centre; R. A. Atkinson, CSIRO Australia</w:t>
      </w:r>
      <w:r w:rsidRPr="00D50C6C">
        <w:rPr>
          <w:rFonts w:ascii="Arial" w:hAnsi="Arial" w:cs="Arial"/>
          <w:i/>
          <w:iCs/>
          <w:sz w:val="20"/>
          <w:szCs w:val="20"/>
          <w:lang w:val="en"/>
        </w:rPr>
        <w:t>.</w:t>
      </w:r>
      <w:r w:rsidRPr="00D50C6C">
        <w:rPr>
          <w:rFonts w:ascii="Arial" w:hAnsi="Arial" w:cs="Arial"/>
          <w:sz w:val="20"/>
          <w:szCs w:val="20"/>
          <w:lang w:val="en"/>
        </w:rPr>
        <w:t xml:space="preserve"> (33 pp, annex 34 pp). - DOI: 10.5675/GRDC_Report_43r1</w:t>
      </w:r>
    </w:p>
    <w:sectPr w:rsidR="00D50C6C" w:rsidSect="00DB44DF">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05">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9505A70"/>
    <w:lvl w:ilvl="0" w:tplc="00000001">
      <w:start w:val="1"/>
      <w:numFmt w:val="bullet"/>
      <w:lvlText w:val="•"/>
      <w:lvlJc w:val="left"/>
      <w:pPr>
        <w:ind w:left="720" w:hanging="360"/>
      </w:pPr>
    </w:lvl>
    <w:lvl w:ilvl="1" w:tplc="E82EF0CC">
      <w:start w:val="1"/>
      <w:numFmt w:val="bullet"/>
      <w:lvlText w:val="-"/>
      <w:lvlJc w:val="left"/>
      <w:pPr>
        <w:tabs>
          <w:tab w:val="num" w:pos="1512"/>
        </w:tabs>
        <w:ind w:left="1512" w:hanging="432"/>
      </w:pPr>
      <w:rPr>
        <w:rFonts w:ascii="Times" w:hAnsi="Times"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C6F3758"/>
    <w:multiLevelType w:val="hybridMultilevel"/>
    <w:tmpl w:val="F3A47608"/>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4">
    <w:nsid w:val="136C58C0"/>
    <w:multiLevelType w:val="hybridMultilevel"/>
    <w:tmpl w:val="F7BC6E4A"/>
    <w:lvl w:ilvl="0" w:tplc="4906BCEA">
      <w:numFmt w:val="bullet"/>
      <w:lvlText w:val=""/>
      <w:lvlJc w:val="left"/>
      <w:pPr>
        <w:ind w:left="72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B296DBE"/>
    <w:multiLevelType w:val="hybridMultilevel"/>
    <w:tmpl w:val="D93C6D4A"/>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6">
    <w:nsid w:val="2B396686"/>
    <w:multiLevelType w:val="hybridMultilevel"/>
    <w:tmpl w:val="E752B276"/>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hint="default"/>
      </w:rPr>
    </w:lvl>
    <w:lvl w:ilvl="8" w:tplc="04070005">
      <w:start w:val="1"/>
      <w:numFmt w:val="bullet"/>
      <w:lvlText w:val=""/>
      <w:lvlJc w:val="left"/>
      <w:pPr>
        <w:tabs>
          <w:tab w:val="num" w:pos="6840"/>
        </w:tabs>
        <w:ind w:left="6840" w:hanging="360"/>
      </w:pPr>
      <w:rPr>
        <w:rFonts w:ascii="Wingdings" w:hAnsi="Wingdings" w:hint="default"/>
      </w:rPr>
    </w:lvl>
  </w:abstractNum>
  <w:abstractNum w:abstractNumId="7">
    <w:nsid w:val="3543064E"/>
    <w:multiLevelType w:val="hybridMultilevel"/>
    <w:tmpl w:val="3EB07422"/>
    <w:lvl w:ilvl="0" w:tplc="757CBAA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300" w:hanging="360"/>
      </w:pPr>
      <w:rPr>
        <w:rFonts w:ascii="Courier New" w:hAnsi="Courier New" w:hint="default"/>
      </w:rPr>
    </w:lvl>
    <w:lvl w:ilvl="2" w:tplc="04090005">
      <w:start w:val="1"/>
      <w:numFmt w:val="bullet"/>
      <w:lvlText w:val=""/>
      <w:lvlJc w:val="left"/>
      <w:pPr>
        <w:ind w:left="2020" w:hanging="360"/>
      </w:pPr>
      <w:rPr>
        <w:rFonts w:ascii="Wingdings" w:hAnsi="Wingdings" w:hint="default"/>
      </w:rPr>
    </w:lvl>
    <w:lvl w:ilvl="3" w:tplc="04090001">
      <w:start w:val="1"/>
      <w:numFmt w:val="bullet"/>
      <w:lvlText w:val=""/>
      <w:lvlJc w:val="left"/>
      <w:pPr>
        <w:ind w:left="2740" w:hanging="360"/>
      </w:pPr>
      <w:rPr>
        <w:rFonts w:ascii="Symbol" w:hAnsi="Symbol" w:hint="default"/>
      </w:rPr>
    </w:lvl>
    <w:lvl w:ilvl="4" w:tplc="04090003">
      <w:start w:val="1"/>
      <w:numFmt w:val="bullet"/>
      <w:lvlText w:val="o"/>
      <w:lvlJc w:val="left"/>
      <w:pPr>
        <w:ind w:left="3460" w:hanging="360"/>
      </w:pPr>
      <w:rPr>
        <w:rFonts w:ascii="Courier New" w:hAnsi="Courier New" w:hint="default"/>
      </w:rPr>
    </w:lvl>
    <w:lvl w:ilvl="5" w:tplc="04090005">
      <w:start w:val="1"/>
      <w:numFmt w:val="bullet"/>
      <w:lvlText w:val=""/>
      <w:lvlJc w:val="left"/>
      <w:pPr>
        <w:ind w:left="4180" w:hanging="360"/>
      </w:pPr>
      <w:rPr>
        <w:rFonts w:ascii="Wingdings" w:hAnsi="Wingdings" w:hint="default"/>
      </w:rPr>
    </w:lvl>
    <w:lvl w:ilvl="6" w:tplc="04090001">
      <w:start w:val="1"/>
      <w:numFmt w:val="bullet"/>
      <w:lvlText w:val=""/>
      <w:lvlJc w:val="left"/>
      <w:pPr>
        <w:ind w:left="4900" w:hanging="360"/>
      </w:pPr>
      <w:rPr>
        <w:rFonts w:ascii="Symbol" w:hAnsi="Symbol" w:hint="default"/>
      </w:rPr>
    </w:lvl>
    <w:lvl w:ilvl="7" w:tplc="04090003">
      <w:start w:val="1"/>
      <w:numFmt w:val="bullet"/>
      <w:lvlText w:val="o"/>
      <w:lvlJc w:val="left"/>
      <w:pPr>
        <w:ind w:left="5620" w:hanging="360"/>
      </w:pPr>
      <w:rPr>
        <w:rFonts w:ascii="Courier New" w:hAnsi="Courier New" w:hint="default"/>
      </w:rPr>
    </w:lvl>
    <w:lvl w:ilvl="8" w:tplc="04090005">
      <w:start w:val="1"/>
      <w:numFmt w:val="bullet"/>
      <w:lvlText w:val=""/>
      <w:lvlJc w:val="left"/>
      <w:pPr>
        <w:ind w:left="6340" w:hanging="360"/>
      </w:pPr>
      <w:rPr>
        <w:rFonts w:ascii="Wingdings" w:hAnsi="Wingdings" w:hint="default"/>
      </w:rPr>
    </w:lvl>
  </w:abstractNum>
  <w:abstractNum w:abstractNumId="8">
    <w:nsid w:val="3D8D1A7D"/>
    <w:multiLevelType w:val="multilevel"/>
    <w:tmpl w:val="F7BC6E4A"/>
    <w:lvl w:ilvl="0">
      <w:numFmt w:val="bullet"/>
      <w:lvlText w:val=""/>
      <w:lvlJc w:val="left"/>
      <w:pPr>
        <w:ind w:left="720" w:hanging="360"/>
      </w:pPr>
      <w:rPr>
        <w:rFonts w:ascii="Symbol" w:eastAsia="Times New Roman"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46920248"/>
    <w:multiLevelType w:val="hybridMultilevel"/>
    <w:tmpl w:val="53B016D0"/>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10">
    <w:nsid w:val="576E5542"/>
    <w:multiLevelType w:val="hybridMultilevel"/>
    <w:tmpl w:val="315C1232"/>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11">
    <w:nsid w:val="5E023319"/>
    <w:multiLevelType w:val="hybridMultilevel"/>
    <w:tmpl w:val="F5BA7080"/>
    <w:lvl w:ilvl="0" w:tplc="757CBAA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300" w:hanging="360"/>
      </w:pPr>
      <w:rPr>
        <w:rFonts w:ascii="Courier New" w:hAnsi="Courier New" w:hint="default"/>
      </w:rPr>
    </w:lvl>
    <w:lvl w:ilvl="2" w:tplc="04090005">
      <w:start w:val="1"/>
      <w:numFmt w:val="bullet"/>
      <w:lvlText w:val=""/>
      <w:lvlJc w:val="left"/>
      <w:pPr>
        <w:ind w:left="2020" w:hanging="360"/>
      </w:pPr>
      <w:rPr>
        <w:rFonts w:ascii="Wingdings" w:hAnsi="Wingdings" w:hint="default"/>
      </w:rPr>
    </w:lvl>
    <w:lvl w:ilvl="3" w:tplc="04090001">
      <w:start w:val="1"/>
      <w:numFmt w:val="bullet"/>
      <w:lvlText w:val=""/>
      <w:lvlJc w:val="left"/>
      <w:pPr>
        <w:ind w:left="2740" w:hanging="360"/>
      </w:pPr>
      <w:rPr>
        <w:rFonts w:ascii="Symbol" w:hAnsi="Symbol" w:hint="default"/>
      </w:rPr>
    </w:lvl>
    <w:lvl w:ilvl="4" w:tplc="04090003">
      <w:start w:val="1"/>
      <w:numFmt w:val="bullet"/>
      <w:lvlText w:val="o"/>
      <w:lvlJc w:val="left"/>
      <w:pPr>
        <w:ind w:left="3460" w:hanging="360"/>
      </w:pPr>
      <w:rPr>
        <w:rFonts w:ascii="Courier New" w:hAnsi="Courier New" w:hint="default"/>
      </w:rPr>
    </w:lvl>
    <w:lvl w:ilvl="5" w:tplc="04090005">
      <w:start w:val="1"/>
      <w:numFmt w:val="bullet"/>
      <w:lvlText w:val=""/>
      <w:lvlJc w:val="left"/>
      <w:pPr>
        <w:ind w:left="4180" w:hanging="360"/>
      </w:pPr>
      <w:rPr>
        <w:rFonts w:ascii="Wingdings" w:hAnsi="Wingdings" w:hint="default"/>
      </w:rPr>
    </w:lvl>
    <w:lvl w:ilvl="6" w:tplc="04090001">
      <w:start w:val="1"/>
      <w:numFmt w:val="bullet"/>
      <w:lvlText w:val=""/>
      <w:lvlJc w:val="left"/>
      <w:pPr>
        <w:ind w:left="4900" w:hanging="360"/>
      </w:pPr>
      <w:rPr>
        <w:rFonts w:ascii="Symbol" w:hAnsi="Symbol" w:hint="default"/>
      </w:rPr>
    </w:lvl>
    <w:lvl w:ilvl="7" w:tplc="04090003">
      <w:start w:val="1"/>
      <w:numFmt w:val="bullet"/>
      <w:lvlText w:val="o"/>
      <w:lvlJc w:val="left"/>
      <w:pPr>
        <w:ind w:left="5620" w:hanging="360"/>
      </w:pPr>
      <w:rPr>
        <w:rFonts w:ascii="Courier New" w:hAnsi="Courier New" w:hint="default"/>
      </w:rPr>
    </w:lvl>
    <w:lvl w:ilvl="8" w:tplc="04090005">
      <w:start w:val="1"/>
      <w:numFmt w:val="bullet"/>
      <w:lvlText w:val=""/>
      <w:lvlJc w:val="left"/>
      <w:pPr>
        <w:ind w:left="6340" w:hanging="360"/>
      </w:pPr>
      <w:rPr>
        <w:rFonts w:ascii="Wingdings" w:hAnsi="Wingdings" w:hint="default"/>
      </w:rPr>
    </w:lvl>
  </w:abstractNum>
  <w:abstractNum w:abstractNumId="12">
    <w:nsid w:val="6215001D"/>
    <w:multiLevelType w:val="hybridMultilevel"/>
    <w:tmpl w:val="0D8E862E"/>
    <w:lvl w:ilvl="0" w:tplc="35209890">
      <w:numFmt w:val="bullet"/>
      <w:lvlText w:val="•"/>
      <w:lvlJc w:val="left"/>
      <w:pPr>
        <w:ind w:left="720" w:hanging="360"/>
      </w:pPr>
      <w:rPr>
        <w:rFonts w:ascii="font405" w:eastAsia="Times New Roman" w:hAnsi="font405"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3C41F77"/>
    <w:multiLevelType w:val="hybridMultilevel"/>
    <w:tmpl w:val="AB544EAE"/>
    <w:lvl w:ilvl="0" w:tplc="757CBAA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300" w:hanging="360"/>
      </w:pPr>
      <w:rPr>
        <w:rFonts w:ascii="Courier New" w:hAnsi="Courier New" w:hint="default"/>
      </w:rPr>
    </w:lvl>
    <w:lvl w:ilvl="2" w:tplc="04090005">
      <w:start w:val="1"/>
      <w:numFmt w:val="bullet"/>
      <w:lvlText w:val=""/>
      <w:lvlJc w:val="left"/>
      <w:pPr>
        <w:ind w:left="2020" w:hanging="360"/>
      </w:pPr>
      <w:rPr>
        <w:rFonts w:ascii="Wingdings" w:hAnsi="Wingdings" w:hint="default"/>
      </w:rPr>
    </w:lvl>
    <w:lvl w:ilvl="3" w:tplc="04090001">
      <w:start w:val="1"/>
      <w:numFmt w:val="bullet"/>
      <w:lvlText w:val=""/>
      <w:lvlJc w:val="left"/>
      <w:pPr>
        <w:ind w:left="2740" w:hanging="360"/>
      </w:pPr>
      <w:rPr>
        <w:rFonts w:ascii="Symbol" w:hAnsi="Symbol" w:hint="default"/>
      </w:rPr>
    </w:lvl>
    <w:lvl w:ilvl="4" w:tplc="04090003">
      <w:start w:val="1"/>
      <w:numFmt w:val="bullet"/>
      <w:lvlText w:val="o"/>
      <w:lvlJc w:val="left"/>
      <w:pPr>
        <w:ind w:left="3460" w:hanging="360"/>
      </w:pPr>
      <w:rPr>
        <w:rFonts w:ascii="Courier New" w:hAnsi="Courier New" w:hint="default"/>
      </w:rPr>
    </w:lvl>
    <w:lvl w:ilvl="5" w:tplc="04090005">
      <w:start w:val="1"/>
      <w:numFmt w:val="bullet"/>
      <w:lvlText w:val=""/>
      <w:lvlJc w:val="left"/>
      <w:pPr>
        <w:ind w:left="4180" w:hanging="360"/>
      </w:pPr>
      <w:rPr>
        <w:rFonts w:ascii="Wingdings" w:hAnsi="Wingdings" w:hint="default"/>
      </w:rPr>
    </w:lvl>
    <w:lvl w:ilvl="6" w:tplc="04090001">
      <w:start w:val="1"/>
      <w:numFmt w:val="bullet"/>
      <w:lvlText w:val=""/>
      <w:lvlJc w:val="left"/>
      <w:pPr>
        <w:ind w:left="4900" w:hanging="360"/>
      </w:pPr>
      <w:rPr>
        <w:rFonts w:ascii="Symbol" w:hAnsi="Symbol" w:hint="default"/>
      </w:rPr>
    </w:lvl>
    <w:lvl w:ilvl="7" w:tplc="04090003">
      <w:start w:val="1"/>
      <w:numFmt w:val="bullet"/>
      <w:lvlText w:val="o"/>
      <w:lvlJc w:val="left"/>
      <w:pPr>
        <w:ind w:left="5620" w:hanging="360"/>
      </w:pPr>
      <w:rPr>
        <w:rFonts w:ascii="Courier New" w:hAnsi="Courier New" w:hint="default"/>
      </w:rPr>
    </w:lvl>
    <w:lvl w:ilvl="8" w:tplc="04090005">
      <w:start w:val="1"/>
      <w:numFmt w:val="bullet"/>
      <w:lvlText w:val=""/>
      <w:lvlJc w:val="left"/>
      <w:pPr>
        <w:ind w:left="6340" w:hanging="360"/>
      </w:pPr>
      <w:rPr>
        <w:rFonts w:ascii="Wingdings" w:hAnsi="Wingdings" w:hint="default"/>
      </w:rPr>
    </w:lvl>
  </w:abstractNum>
  <w:abstractNum w:abstractNumId="14">
    <w:nsid w:val="706A5E2F"/>
    <w:multiLevelType w:val="hybridMultilevel"/>
    <w:tmpl w:val="0AA239D4"/>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15">
    <w:nsid w:val="7DBB33C0"/>
    <w:multiLevelType w:val="hybridMultilevel"/>
    <w:tmpl w:val="35648EBE"/>
    <w:lvl w:ilvl="0" w:tplc="E82EF0CC">
      <w:start w:val="1"/>
      <w:numFmt w:val="bullet"/>
      <w:lvlText w:val="-"/>
      <w:lvlJc w:val="left"/>
      <w:pPr>
        <w:tabs>
          <w:tab w:val="num" w:pos="1512"/>
        </w:tabs>
        <w:ind w:left="1512" w:hanging="432"/>
      </w:pPr>
      <w:rPr>
        <w:rFonts w:ascii="Times" w:hAnsi="Time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13"/>
  </w:num>
  <w:num w:numId="8">
    <w:abstractNumId w:val="4"/>
  </w:num>
  <w:num w:numId="9">
    <w:abstractNumId w:val="8"/>
  </w:num>
  <w:num w:numId="10">
    <w:abstractNumId w:val="12"/>
  </w:num>
  <w:num w:numId="11">
    <w:abstractNumId w:val="5"/>
  </w:num>
  <w:num w:numId="12">
    <w:abstractNumId w:val="6"/>
  </w:num>
  <w:num w:numId="13">
    <w:abstractNumId w:val="14"/>
  </w:num>
  <w:num w:numId="14">
    <w:abstractNumId w:val="1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DF"/>
    <w:rsid w:val="00043680"/>
    <w:rsid w:val="000B693C"/>
    <w:rsid w:val="000B6AB2"/>
    <w:rsid w:val="000C651F"/>
    <w:rsid w:val="001614F4"/>
    <w:rsid w:val="00182B1D"/>
    <w:rsid w:val="001A511A"/>
    <w:rsid w:val="001A786D"/>
    <w:rsid w:val="002729D7"/>
    <w:rsid w:val="0027754A"/>
    <w:rsid w:val="002A5128"/>
    <w:rsid w:val="002E3879"/>
    <w:rsid w:val="00384520"/>
    <w:rsid w:val="003D6170"/>
    <w:rsid w:val="004D5D11"/>
    <w:rsid w:val="00547C35"/>
    <w:rsid w:val="0055575D"/>
    <w:rsid w:val="00584F7F"/>
    <w:rsid w:val="00590BDB"/>
    <w:rsid w:val="005A1E00"/>
    <w:rsid w:val="005B7C1D"/>
    <w:rsid w:val="005C21F0"/>
    <w:rsid w:val="005D2BFF"/>
    <w:rsid w:val="00690379"/>
    <w:rsid w:val="006D103C"/>
    <w:rsid w:val="00704C44"/>
    <w:rsid w:val="00796049"/>
    <w:rsid w:val="00810F75"/>
    <w:rsid w:val="0087698C"/>
    <w:rsid w:val="008E0E24"/>
    <w:rsid w:val="009A0EB0"/>
    <w:rsid w:val="009A7C50"/>
    <w:rsid w:val="00A0316D"/>
    <w:rsid w:val="00A913C4"/>
    <w:rsid w:val="00B25700"/>
    <w:rsid w:val="00B560D7"/>
    <w:rsid w:val="00B6035D"/>
    <w:rsid w:val="00B77916"/>
    <w:rsid w:val="00BF1A29"/>
    <w:rsid w:val="00C21487"/>
    <w:rsid w:val="00D50C6C"/>
    <w:rsid w:val="00D8244A"/>
    <w:rsid w:val="00DB44DF"/>
    <w:rsid w:val="00DE5808"/>
    <w:rsid w:val="00E04BAB"/>
    <w:rsid w:val="00E43C4F"/>
    <w:rsid w:val="00E62E2A"/>
    <w:rsid w:val="00F14F38"/>
    <w:rsid w:val="00FB1E22"/>
    <w:rsid w:val="00FB5EA5"/>
    <w:rsid w:val="00FD67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865E43-5EDC-445D-AB93-4AD1002F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487"/>
    <w:rPr>
      <w:rFonts w:cs="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uiPriority w:val="99"/>
    <w:rsid w:val="00704C44"/>
    <w:rPr>
      <w:rFonts w:ascii="Times New Roman" w:hAnsi="Times New Roman" w:cs="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56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dc.bafg.de/servlet/is/932/" TargetMode="External"/><Relationship Id="rId3" Type="http://schemas.openxmlformats.org/officeDocument/2006/relationships/settings" Target="settings.xml"/><Relationship Id="rId7" Type="http://schemas.openxmlformats.org/officeDocument/2006/relationships/hyperlink" Target="http://grdc.bafg.de/servlet/is/1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dc.bafg.de/servlet/is/2470/" TargetMode="External"/><Relationship Id="rId5" Type="http://schemas.openxmlformats.org/officeDocument/2006/relationships/hyperlink" Target="http://grdc.bafg.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1869</Words>
  <Characters>10659</Characters>
  <Application>Microsoft Office Word</Application>
  <DocSecurity>0</DocSecurity>
  <Lines>88</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for Project Reports for the GEWEX GHP Meeting</vt:lpstr>
      <vt:lpstr>Template for Project Reports for the GEWEX GHP Meeting</vt:lpstr>
    </vt:vector>
  </TitlesOfParts>
  <Company>bfg</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Project Reports for the GEWEX GHP Meeting</dc:title>
  <dc:creator>Shannon Macken</dc:creator>
  <cp:lastModifiedBy>Sam Benedict</cp:lastModifiedBy>
  <cp:revision>2</cp:revision>
  <dcterms:created xsi:type="dcterms:W3CDTF">2014-12-07T23:27:00Z</dcterms:created>
  <dcterms:modified xsi:type="dcterms:W3CDTF">2014-12-07T23:27:00Z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